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22ABEFFC" w:rsidR="00424BB9" w:rsidRDefault="005A6328" w:rsidP="00BD14C9">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547C0243" w:rsidR="005A6328" w:rsidRPr="00BD14C9" w:rsidRDefault="00BD14C9" w:rsidP="00032E4E">
                            <w:pPr>
                              <w:jc w:val="center"/>
                              <w:rPr>
                                <w:b/>
                                <w:bCs/>
                                <w:sz w:val="36"/>
                                <w:szCs w:val="52"/>
                                <w:rtl/>
                                <w:lang w:val="en-US" w:bidi="ar-EG"/>
                              </w:rPr>
                            </w:pPr>
                            <w:r>
                              <w:rPr>
                                <w:b/>
                                <w:bCs/>
                                <w:sz w:val="36"/>
                                <w:szCs w:val="52"/>
                                <w:lang w:val="en-US"/>
                              </w:rPr>
                              <w:t>Chocolate Agar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547C0243" w:rsidR="005A6328" w:rsidRPr="00BD14C9" w:rsidRDefault="00BD14C9" w:rsidP="00032E4E">
                      <w:pPr>
                        <w:jc w:val="center"/>
                        <w:rPr>
                          <w:b/>
                          <w:bCs/>
                          <w:sz w:val="36"/>
                          <w:szCs w:val="52"/>
                          <w:rtl/>
                          <w:lang w:val="en-US" w:bidi="ar-EG"/>
                        </w:rPr>
                      </w:pPr>
                      <w:r>
                        <w:rPr>
                          <w:b/>
                          <w:bCs/>
                          <w:sz w:val="36"/>
                          <w:szCs w:val="52"/>
                          <w:lang w:val="en-US"/>
                        </w:rPr>
                        <w:t>Chocolate Agar Base</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651B8E" w:rsidRPr="00651B8E">
        <w:rPr>
          <w:rFonts w:ascii="Arial" w:eastAsia="Arial" w:hAnsi="Arial" w:cs="Arial"/>
          <w:color w:val="2F5496"/>
          <w:kern w:val="2"/>
          <w:szCs w:val="24"/>
          <w:lang w:val="en-GB" w:eastAsia="en-GB"/>
          <w14:ligatures w14:val="standardContextual"/>
        </w:rPr>
        <w:t xml:space="preserve"> </w:t>
      </w:r>
      <w:r w:rsidR="00BD14C9" w:rsidRPr="00BD14C9">
        <w:rPr>
          <w:noProof/>
          <w:color w:val="0A2F41" w:themeColor="accent1" w:themeShade="80"/>
          <w:sz w:val="19"/>
          <w:lang w:val="en-GB"/>
        </w:rPr>
        <w:t>Medical laboratories enriched media recommended for the isolation of Neisseria gonorrhoeae from chronic and acute cases of gonococcal infections.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91275E8" w:rsidR="0070011D" w:rsidRDefault="00193D74" w:rsidP="00193D74">
            <w:pPr>
              <w:tabs>
                <w:tab w:val="left" w:pos="428"/>
              </w:tabs>
              <w:adjustRightInd w:val="0"/>
              <w:ind w:left="-112" w:right="800"/>
              <w:rPr>
                <w:color w:val="071320" w:themeColor="text2" w:themeShade="80"/>
                <w:szCs w:val="16"/>
              </w:rPr>
            </w:pPr>
            <w:bookmarkStart w:id="0" w:name="_Hlk184904362"/>
            <w:r>
              <w:rPr>
                <w:color w:val="071320" w:themeColor="text2" w:themeShade="80"/>
                <w:szCs w:val="16"/>
              </w:rPr>
              <w:t>REF: V</w:t>
            </w:r>
            <w:r w:rsidR="00F9137A">
              <w:rPr>
                <w:color w:val="071320" w:themeColor="text2" w:themeShade="80"/>
                <w:szCs w:val="16"/>
              </w:rPr>
              <w:t>.1</w:t>
            </w:r>
            <w:r w:rsidR="0070011D" w:rsidRPr="00C360D7">
              <w:rPr>
                <w:color w:val="071320" w:themeColor="text2" w:themeShade="80"/>
                <w:szCs w:val="16"/>
              </w:rPr>
              <w:t>/</w:t>
            </w:r>
            <w:r w:rsidR="00BD14C9">
              <w:rPr>
                <w:color w:val="071320" w:themeColor="text2" w:themeShade="80"/>
                <w:szCs w:val="16"/>
              </w:rPr>
              <w:t>CC</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36FBA215"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F9137A">
              <w:rPr>
                <w:color w:val="071320" w:themeColor="text2" w:themeShade="80"/>
                <w:szCs w:val="16"/>
              </w:rPr>
              <w:t>.1</w:t>
            </w:r>
            <w:r w:rsidR="0070011D" w:rsidRPr="00C360D7">
              <w:rPr>
                <w:color w:val="071320" w:themeColor="text2" w:themeShade="80"/>
                <w:szCs w:val="16"/>
              </w:rPr>
              <w:t>/</w:t>
            </w:r>
            <w:r w:rsidR="00BD14C9">
              <w:rPr>
                <w:color w:val="071320" w:themeColor="text2" w:themeShade="80"/>
                <w:szCs w:val="16"/>
              </w:rPr>
              <w:t>CC</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1E8D526F"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00F9137A">
              <w:rPr>
                <w:color w:val="071320" w:themeColor="text2" w:themeShade="80"/>
                <w:szCs w:val="16"/>
              </w:rPr>
              <w:t>.1</w:t>
            </w:r>
            <w:r w:rsidRPr="00C360D7">
              <w:rPr>
                <w:color w:val="071320" w:themeColor="text2" w:themeShade="80"/>
                <w:szCs w:val="16"/>
              </w:rPr>
              <w:t>/</w:t>
            </w:r>
            <w:r w:rsidR="00BD14C9">
              <w:rPr>
                <w:color w:val="071320" w:themeColor="text2" w:themeShade="80"/>
                <w:szCs w:val="16"/>
              </w:rPr>
              <w:t>CC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38F33F1" w14:textId="77777777" w:rsidR="00BD14C9" w:rsidRDefault="00BD14C9" w:rsidP="00BD14C9">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BD14C9">
        <w:rPr>
          <w:rFonts w:ascii="Arial MT" w:eastAsia="Arial MT" w:hAnsi="Arial MT" w:cs="Arial MT"/>
          <w:b w:val="0"/>
          <w:bCs/>
          <w:color w:val="0A2F41" w:themeColor="accent1" w:themeShade="80"/>
          <w:kern w:val="0"/>
          <w:szCs w:val="16"/>
          <w:lang w:eastAsia="en-US"/>
          <w14:ligatures w14:val="none"/>
        </w:rPr>
        <w:t xml:space="preserve">Chocolate agar base is an enriched selective medium. It is used for the cultivation and isolation of Neisseria species and Haemophilus Influenza from clinical specimens such as Blood, throat, Urethral, Rectal, Cervical, Vaginal, Oropharyngeal, Conjunctival and sterile body fluids. </w:t>
      </w:r>
    </w:p>
    <w:p w14:paraId="31DF6754" w14:textId="47C876BF" w:rsidR="00424BB9" w:rsidRPr="008278FA" w:rsidRDefault="004617AD" w:rsidP="00BD14C9">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69376A5D" w14:textId="77777777" w:rsidR="00BD14C9" w:rsidRDefault="00BD14C9" w:rsidP="00BD14C9">
      <w:pPr>
        <w:pStyle w:val="Heading1"/>
        <w:spacing w:after="0"/>
        <w:ind w:left="0"/>
        <w:rPr>
          <w:bCs/>
          <w:color w:val="0A2F41" w:themeColor="accent1" w:themeShade="80"/>
          <w:kern w:val="0"/>
          <w:szCs w:val="18"/>
          <w:lang w:eastAsia="en-US"/>
          <w14:ligatures w14:val="none"/>
        </w:rPr>
      </w:pPr>
      <w:r w:rsidRPr="00BD14C9">
        <w:rPr>
          <w:rFonts w:ascii="Arial MT" w:eastAsia="Arial MT" w:hAnsi="Arial MT" w:cs="Arial MT"/>
          <w:b w:val="0"/>
          <w:bCs/>
          <w:color w:val="0A2F41" w:themeColor="accent1" w:themeShade="80"/>
          <w:kern w:val="0"/>
          <w:szCs w:val="16"/>
          <w:lang w:eastAsia="en-US"/>
          <w14:ligatures w14:val="none"/>
        </w:rPr>
        <w:t xml:space="preserve">Neisseria gonorrhoeae is a </w:t>
      </w:r>
      <w:proofErr w:type="gramStart"/>
      <w:r w:rsidRPr="00BD14C9">
        <w:rPr>
          <w:rFonts w:ascii="Arial MT" w:eastAsia="Arial MT" w:hAnsi="Arial MT" w:cs="Arial MT"/>
          <w:b w:val="0"/>
          <w:bCs/>
          <w:color w:val="0A2F41" w:themeColor="accent1" w:themeShade="80"/>
          <w:kern w:val="0"/>
          <w:szCs w:val="16"/>
          <w:lang w:eastAsia="en-US"/>
          <w14:ligatures w14:val="none"/>
        </w:rPr>
        <w:t>gram-negative bacteria</w:t>
      </w:r>
      <w:proofErr w:type="gramEnd"/>
      <w:r w:rsidRPr="00BD14C9">
        <w:rPr>
          <w:rFonts w:ascii="Arial MT" w:eastAsia="Arial MT" w:hAnsi="Arial MT" w:cs="Arial MT"/>
          <w:b w:val="0"/>
          <w:bCs/>
          <w:color w:val="0A2F41" w:themeColor="accent1" w:themeShade="80"/>
          <w:kern w:val="0"/>
          <w:szCs w:val="16"/>
          <w:lang w:eastAsia="en-US"/>
          <w14:ligatures w14:val="none"/>
        </w:rPr>
        <w:t xml:space="preserve"> and the causative agent of </w:t>
      </w:r>
      <w:proofErr w:type="spellStart"/>
      <w:r w:rsidRPr="00BD14C9">
        <w:rPr>
          <w:rFonts w:ascii="Arial MT" w:eastAsia="Arial MT" w:hAnsi="Arial MT" w:cs="Arial MT"/>
          <w:b w:val="0"/>
          <w:bCs/>
          <w:color w:val="0A2F41" w:themeColor="accent1" w:themeShade="80"/>
          <w:kern w:val="0"/>
          <w:szCs w:val="16"/>
          <w:lang w:eastAsia="en-US"/>
          <w14:ligatures w14:val="none"/>
        </w:rPr>
        <w:t>gonorrhea</w:t>
      </w:r>
      <w:proofErr w:type="spellEnd"/>
      <w:r w:rsidRPr="00BD14C9">
        <w:rPr>
          <w:rFonts w:ascii="Arial MT" w:eastAsia="Arial MT" w:hAnsi="Arial MT" w:cs="Arial MT"/>
          <w:b w:val="0"/>
          <w:bCs/>
          <w:color w:val="0A2F41" w:themeColor="accent1" w:themeShade="80"/>
          <w:kern w:val="0"/>
          <w:szCs w:val="16"/>
          <w:lang w:eastAsia="en-US"/>
          <w14:ligatures w14:val="none"/>
        </w:rPr>
        <w:t xml:space="preserve">, however it is also occasionally found in the throat. The cultivation medium for gonococci should ideally be a rich nutrients base with blood, either partially lysed or completely lysed. The diagnosis and control of </w:t>
      </w:r>
      <w:proofErr w:type="spellStart"/>
      <w:r w:rsidRPr="00BD14C9">
        <w:rPr>
          <w:rFonts w:ascii="Arial MT" w:eastAsia="Arial MT" w:hAnsi="Arial MT" w:cs="Arial MT"/>
          <w:b w:val="0"/>
          <w:bCs/>
          <w:color w:val="0A2F41" w:themeColor="accent1" w:themeShade="80"/>
          <w:kern w:val="0"/>
          <w:szCs w:val="16"/>
          <w:lang w:eastAsia="en-US"/>
          <w14:ligatures w14:val="none"/>
        </w:rPr>
        <w:t>gonorrhea</w:t>
      </w:r>
      <w:proofErr w:type="spellEnd"/>
      <w:r w:rsidRPr="00BD14C9">
        <w:rPr>
          <w:rFonts w:ascii="Arial MT" w:eastAsia="Arial MT" w:hAnsi="Arial MT" w:cs="Arial MT"/>
          <w:b w:val="0"/>
          <w:bCs/>
          <w:color w:val="0A2F41" w:themeColor="accent1" w:themeShade="80"/>
          <w:kern w:val="0"/>
          <w:szCs w:val="16"/>
          <w:lang w:eastAsia="en-US"/>
          <w14:ligatures w14:val="none"/>
        </w:rPr>
        <w:t xml:space="preserve"> have been greatly facilitated by improved laboratory methods for detecting, isolating and studying N. gonorrhoeae. Chocolate Agar Base, with the addition of supplements, gives excellent growth of the gonococcus without overgrowth by contaminating organisms </w:t>
      </w:r>
    </w:p>
    <w:p w14:paraId="0942943C" w14:textId="0DF8724A" w:rsidR="00424BB9" w:rsidRDefault="004617AD" w:rsidP="00BD14C9">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1C57864A" w14:textId="77777777"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 xml:space="preserve">Proteose Peptone </w:t>
            </w:r>
          </w:p>
          <w:p w14:paraId="53C8AE70" w14:textId="24AB8201"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Glucose </w:t>
            </w:r>
          </w:p>
          <w:p w14:paraId="62A71AA8" w14:textId="77777777"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 xml:space="preserve">Sodium Chloride </w:t>
            </w:r>
          </w:p>
          <w:p w14:paraId="58197FBB" w14:textId="77777777"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 xml:space="preserve">Disodium hydrogen phosphate </w:t>
            </w:r>
          </w:p>
          <w:p w14:paraId="2274BBC9" w14:textId="65461940" w:rsidR="002842D5" w:rsidRP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Agar</w:t>
            </w:r>
          </w:p>
        </w:tc>
        <w:tc>
          <w:tcPr>
            <w:tcW w:w="1832" w:type="dxa"/>
            <w:tcBorders>
              <w:top w:val="single" w:sz="18" w:space="0" w:color="92D050"/>
            </w:tcBorders>
          </w:tcPr>
          <w:p w14:paraId="3416FF89" w14:textId="77777777" w:rsidR="00AA394A" w:rsidRDefault="00BD14C9"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20</w:t>
            </w:r>
          </w:p>
          <w:p w14:paraId="09D69F0C" w14:textId="77777777" w:rsidR="00BD14C9" w:rsidRDefault="00BD14C9"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0.5</w:t>
            </w:r>
          </w:p>
          <w:p w14:paraId="671C3BCA" w14:textId="77777777" w:rsidR="00BD14C9" w:rsidRDefault="00BD14C9"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32692E80" w14:textId="77777777" w:rsidR="00BD14C9" w:rsidRDefault="00BD14C9"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4D629EE" w14:textId="431EF0CC" w:rsidR="00BD14C9" w:rsidRPr="008278FA" w:rsidRDefault="00BD14C9"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19523FEA" w14:textId="0829B55A"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7C7E7A30" w14:textId="68063C34" w:rsidR="00756A6F" w:rsidRPr="00AF6CA1" w:rsidRDefault="00B87082" w:rsidP="00BD14C9">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651B8E">
        <w:rPr>
          <w:rFonts w:ascii="Arial MT" w:eastAsia="Arial MT" w:hAnsi="Arial MT" w:cs="Arial MT"/>
          <w:bCs/>
          <w:iCs/>
          <w:color w:val="0A2F41" w:themeColor="accent1" w:themeShade="80"/>
          <w:kern w:val="0"/>
          <w:sz w:val="18"/>
          <w:szCs w:val="18"/>
          <w:lang w:val="en-US" w:eastAsia="en-US"/>
          <w14:ligatures w14:val="none"/>
        </w:rPr>
        <w:t>7.</w:t>
      </w:r>
      <w:r w:rsidR="00BD14C9">
        <w:rPr>
          <w:rFonts w:ascii="Arial MT" w:eastAsia="Arial MT" w:hAnsi="Arial MT" w:cs="Arial MT"/>
          <w:bCs/>
          <w:iCs/>
          <w:color w:val="0A2F41" w:themeColor="accent1" w:themeShade="80"/>
          <w:kern w:val="0"/>
          <w:sz w:val="18"/>
          <w:szCs w:val="18"/>
          <w:lang w:val="en-US" w:eastAsia="en-US"/>
          <w14:ligatures w14:val="none"/>
        </w:rPr>
        <w:t>3</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03403393" w14:textId="79CF18C3" w:rsidR="009710F1" w:rsidRDefault="004617AD" w:rsidP="00651B8E">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2AE1EE07" w:rsidR="00D241F3" w:rsidRPr="00D241F3" w:rsidRDefault="004617AD" w:rsidP="00BD14C9">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BD14C9">
        <w:rPr>
          <w:rFonts w:ascii="Arial MT" w:eastAsia="Arial MT" w:hAnsi="Arial MT" w:cs="Arial MT"/>
          <w:color w:val="0A2F41" w:themeColor="accent1" w:themeShade="80"/>
          <w:kern w:val="0"/>
          <w:szCs w:val="16"/>
          <w:lang w:val="en-US" w:eastAsia="en-US"/>
          <w14:ligatures w14:val="none"/>
        </w:rPr>
        <w:t>Chocolate Agar Base</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72195B29" w14:textId="77777777" w:rsidR="005471C2" w:rsidRDefault="005471C2" w:rsidP="00D241F3">
      <w:pPr>
        <w:pStyle w:val="Heading1"/>
        <w:spacing w:after="172"/>
        <w:ind w:left="10"/>
        <w:rPr>
          <w:bCs/>
          <w:color w:val="0A2F41" w:themeColor="accent1" w:themeShade="80"/>
          <w:kern w:val="0"/>
          <w:szCs w:val="18"/>
          <w:lang w:val="en-US" w:eastAsia="en-US"/>
          <w14:ligatures w14:val="none"/>
        </w:rPr>
      </w:pPr>
    </w:p>
    <w:p w14:paraId="669DB2B9" w14:textId="77777777" w:rsidR="00AA394A" w:rsidRDefault="00AA394A" w:rsidP="00D241F3">
      <w:pPr>
        <w:pStyle w:val="Heading1"/>
        <w:spacing w:after="172"/>
        <w:ind w:left="10"/>
        <w:rPr>
          <w:bCs/>
          <w:color w:val="0A2F41" w:themeColor="accent1" w:themeShade="80"/>
          <w:kern w:val="0"/>
          <w:szCs w:val="18"/>
          <w:lang w:val="en-US" w:eastAsia="en-US"/>
          <w14:ligatures w14:val="none"/>
        </w:rPr>
      </w:pP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714EB9CA" w:rsidR="005D2B78" w:rsidRDefault="005D2B78" w:rsidP="00BD14C9">
      <w:pPr>
        <w:spacing w:after="100"/>
        <w:ind w:left="12" w:right="69"/>
        <w:rPr>
          <w:rFonts w:ascii="Arial MT" w:eastAsia="Arial MT" w:hAnsi="Arial MT" w:cs="Arial MT"/>
          <w:color w:val="0A2F41" w:themeColor="accent1" w:themeShade="80"/>
          <w:kern w:val="0"/>
          <w:szCs w:val="16"/>
          <w:lang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BD14C9" w:rsidRPr="00BD14C9">
        <w:rPr>
          <w:rFonts w:ascii="Arial MT" w:eastAsia="Arial MT" w:hAnsi="Arial MT" w:cs="Arial MT"/>
          <w:color w:val="0A2F41" w:themeColor="accent1" w:themeShade="80"/>
          <w:kern w:val="0"/>
          <w:szCs w:val="16"/>
          <w:lang w:val="en-US" w:eastAsia="en-US"/>
          <w14:ligatures w14:val="none"/>
        </w:rPr>
        <w:t>Chocolate Agar Base</w:t>
      </w:r>
      <w:r w:rsidR="00BD14C9" w:rsidRPr="00BD14C9">
        <w:rPr>
          <w:rFonts w:ascii="Arial MT" w:eastAsia="Arial MT" w:hAnsi="Arial MT" w:cs="Arial MT"/>
          <w:color w:val="0A2F41" w:themeColor="accent1" w:themeShade="80"/>
          <w:kern w:val="0"/>
          <w:szCs w:val="16"/>
          <w:lang w:eastAsia="en-US"/>
          <w14:ligatures w14:val="none"/>
        </w:rPr>
        <w:t xml:space="preserve"> </w:t>
      </w:r>
      <w:r w:rsidR="00077ED6" w:rsidRPr="00077ED6">
        <w:rPr>
          <w:rFonts w:ascii="Arial MT" w:eastAsia="Arial MT" w:hAnsi="Arial MT" w:cs="Arial MT"/>
          <w:color w:val="0A2F41" w:themeColor="accent1" w:themeShade="80"/>
          <w:kern w:val="0"/>
          <w:szCs w:val="16"/>
          <w:lang w:eastAsia="en-US"/>
          <w14:ligatures w14:val="none"/>
        </w:rPr>
        <w:t xml:space="preserve">should be stored between 10-30°C in a firmly closed container and the prepared medium at 2-8°C. Use before expiry date on the label. </w:t>
      </w:r>
      <w:proofErr w:type="gramStart"/>
      <w:r w:rsidR="00077ED6" w:rsidRPr="00077ED6">
        <w:rPr>
          <w:rFonts w:ascii="Arial MT" w:eastAsia="Arial MT" w:hAnsi="Arial MT" w:cs="Arial MT"/>
          <w:color w:val="0A2F41" w:themeColor="accent1" w:themeShade="80"/>
          <w:kern w:val="0"/>
          <w:szCs w:val="16"/>
          <w:lang w:eastAsia="en-US"/>
          <w14:ligatures w14:val="none"/>
        </w:rPr>
        <w:t>On  opening</w:t>
      </w:r>
      <w:proofErr w:type="gramEnd"/>
      <w:r w:rsidR="00077ED6" w:rsidRPr="00077ED6">
        <w:rPr>
          <w:rFonts w:ascii="Arial MT" w:eastAsia="Arial MT" w:hAnsi="Arial MT" w:cs="Arial MT"/>
          <w:color w:val="0A2F41" w:themeColor="accent1" w:themeShade="80"/>
          <w:kern w:val="0"/>
          <w:szCs w:val="16"/>
          <w:lang w:eastAsia="en-US"/>
          <w14:ligatures w14:val="none"/>
        </w:rPr>
        <w:t xml:space="preserve">,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56188B26" w14:textId="77777777" w:rsidR="00BD14C9" w:rsidRPr="00BD14C9" w:rsidRDefault="00BD14C9" w:rsidP="00BD14C9">
      <w:pPr>
        <w:rPr>
          <w:rFonts w:ascii="Arial MT" w:eastAsia="Arial MT" w:hAnsi="Arial MT" w:cs="Arial MT"/>
          <w:b/>
          <w:bCs/>
          <w:color w:val="0A2F41" w:themeColor="accent1" w:themeShade="80"/>
          <w:kern w:val="0"/>
          <w:sz w:val="17"/>
          <w:szCs w:val="16"/>
          <w:lang w:eastAsia="en-US"/>
          <w14:ligatures w14:val="none"/>
        </w:rPr>
      </w:pPr>
      <w:r w:rsidRPr="00BD14C9">
        <w:rPr>
          <w:rFonts w:ascii="Arial MT" w:eastAsia="Arial MT" w:hAnsi="Arial MT" w:cs="Arial MT"/>
          <w:b/>
          <w:bCs/>
          <w:color w:val="0A2F41" w:themeColor="accent1" w:themeShade="80"/>
          <w:kern w:val="0"/>
          <w:sz w:val="17"/>
          <w:szCs w:val="16"/>
          <w:lang w:eastAsia="en-US"/>
          <w14:ligatures w14:val="none"/>
        </w:rPr>
        <w:t xml:space="preserve">Preparation of </w:t>
      </w:r>
      <w:proofErr w:type="spellStart"/>
      <w:r w:rsidRPr="00BD14C9">
        <w:rPr>
          <w:rFonts w:ascii="Arial MT" w:eastAsia="Arial MT" w:hAnsi="Arial MT" w:cs="Arial MT"/>
          <w:b/>
          <w:bCs/>
          <w:color w:val="0A2F41" w:themeColor="accent1" w:themeShade="80"/>
          <w:kern w:val="0"/>
          <w:sz w:val="17"/>
          <w:szCs w:val="16"/>
          <w:lang w:eastAsia="en-US"/>
          <w14:ligatures w14:val="none"/>
        </w:rPr>
        <w:t>hemoglobin</w:t>
      </w:r>
      <w:proofErr w:type="spellEnd"/>
      <w:r w:rsidRPr="00BD14C9">
        <w:rPr>
          <w:rFonts w:ascii="Arial MT" w:eastAsia="Arial MT" w:hAnsi="Arial MT" w:cs="Arial MT"/>
          <w:b/>
          <w:bCs/>
          <w:color w:val="0A2F41" w:themeColor="accent1" w:themeShade="80"/>
          <w:kern w:val="0"/>
          <w:sz w:val="17"/>
          <w:szCs w:val="16"/>
          <w:lang w:eastAsia="en-US"/>
          <w14:ligatures w14:val="none"/>
        </w:rPr>
        <w:t xml:space="preserve"> solution:</w:t>
      </w:r>
    </w:p>
    <w:p w14:paraId="15C0640B" w14:textId="1D909751" w:rsidR="00BD14C9" w:rsidRDefault="00BD14C9" w:rsidP="00BD14C9">
      <w:pPr>
        <w:rPr>
          <w:rFonts w:ascii="Arial MT" w:eastAsia="Arial MT" w:hAnsi="Arial MT" w:cs="Arial MT"/>
          <w:color w:val="0A2F41" w:themeColor="accent1" w:themeShade="80"/>
          <w:kern w:val="0"/>
          <w:sz w:val="17"/>
          <w:szCs w:val="16"/>
          <w:lang w:eastAsia="en-US"/>
          <w14:ligatures w14:val="none"/>
        </w:rPr>
      </w:pPr>
      <w:r w:rsidRPr="00BD14C9">
        <w:rPr>
          <w:rFonts w:ascii="Arial MT" w:eastAsia="Arial MT" w:hAnsi="Arial MT" w:cs="Arial MT"/>
          <w:color w:val="0A2F41" w:themeColor="accent1" w:themeShade="80"/>
          <w:kern w:val="0"/>
          <w:sz w:val="17"/>
          <w:szCs w:val="16"/>
          <w:lang w:eastAsia="en-US"/>
          <w14:ligatures w14:val="none"/>
        </w:rPr>
        <w:t xml:space="preserve">Add </w:t>
      </w:r>
      <w:proofErr w:type="spellStart"/>
      <w:r w:rsidRPr="00BD14C9">
        <w:rPr>
          <w:rFonts w:ascii="Arial MT" w:eastAsia="Arial MT" w:hAnsi="Arial MT" w:cs="Arial MT"/>
          <w:color w:val="0A2F41" w:themeColor="accent1" w:themeShade="80"/>
          <w:kern w:val="0"/>
          <w:sz w:val="17"/>
          <w:szCs w:val="16"/>
          <w:lang w:eastAsia="en-US"/>
          <w14:ligatures w14:val="none"/>
        </w:rPr>
        <w:t>hemoglobin</w:t>
      </w:r>
      <w:proofErr w:type="spellEnd"/>
      <w:r w:rsidRPr="00BD14C9">
        <w:rPr>
          <w:rFonts w:ascii="Arial MT" w:eastAsia="Arial MT" w:hAnsi="Arial MT" w:cs="Arial MT"/>
          <w:color w:val="0A2F41" w:themeColor="accent1" w:themeShade="80"/>
          <w:kern w:val="0"/>
          <w:sz w:val="17"/>
          <w:szCs w:val="16"/>
          <w:lang w:eastAsia="en-US"/>
          <w14:ligatures w14:val="none"/>
        </w:rPr>
        <w:t xml:space="preserve"> to distilled water and bring volume to 500 ml to prepare 2% solution. Mix thoroughly and autoclave for 15 min at 15lbs pressure at 121°C. Cool at 45°C -50°C.</w:t>
      </w:r>
    </w:p>
    <w:p w14:paraId="4F09B3A0" w14:textId="359A61C7" w:rsidR="00BD14C9" w:rsidRPr="00BD14C9" w:rsidRDefault="00BD14C9" w:rsidP="00BD14C9">
      <w:pPr>
        <w:rPr>
          <w:rFonts w:ascii="Arial MT" w:eastAsia="Arial MT" w:hAnsi="Arial MT" w:cs="Arial MT"/>
          <w:b/>
          <w:bCs/>
          <w:color w:val="0A2F41" w:themeColor="accent1" w:themeShade="80"/>
          <w:kern w:val="0"/>
          <w:sz w:val="17"/>
          <w:szCs w:val="16"/>
          <w:lang w:eastAsia="en-US"/>
          <w14:ligatures w14:val="none"/>
        </w:rPr>
      </w:pPr>
      <w:r w:rsidRPr="00BD14C9">
        <w:rPr>
          <w:rFonts w:ascii="Arial MT" w:eastAsia="Arial MT" w:hAnsi="Arial MT" w:cs="Arial MT"/>
          <w:b/>
          <w:bCs/>
          <w:color w:val="0A2F41" w:themeColor="accent1" w:themeShade="80"/>
          <w:kern w:val="0"/>
          <w:sz w:val="17"/>
          <w:szCs w:val="16"/>
          <w:lang w:eastAsia="en-US"/>
          <w14:ligatures w14:val="none"/>
        </w:rPr>
        <w:t>Preparation of the medium:</w:t>
      </w:r>
    </w:p>
    <w:p w14:paraId="07A323FC" w14:textId="2EB35486" w:rsidR="005471C2" w:rsidRDefault="00BD14C9" w:rsidP="00BD14C9">
      <w:pPr>
        <w:rPr>
          <w:lang w:eastAsia="en-US"/>
        </w:rPr>
      </w:pPr>
      <w:r w:rsidRPr="00BD14C9">
        <w:rPr>
          <w:rFonts w:ascii="Arial MT" w:eastAsia="Arial MT" w:hAnsi="Arial MT" w:cs="Arial MT"/>
          <w:color w:val="0A2F41" w:themeColor="accent1" w:themeShade="80"/>
          <w:kern w:val="0"/>
          <w:sz w:val="17"/>
          <w:szCs w:val="16"/>
          <w:lang w:eastAsia="en-US"/>
          <w14:ligatures w14:val="none"/>
        </w:rPr>
        <w:t xml:space="preserve">Suspend 45.5 grams in 495 ml purified/ distilled water. Heat to boiling to dissolve the medium completely. Sterilize by autoclaving at 15 lbs pressure (121°C) for 15 minutes. Cool to 45-50°C. Aseptically add equal amount (495 ml) of sterile </w:t>
      </w:r>
      <w:proofErr w:type="spellStart"/>
      <w:r w:rsidRPr="00BD14C9">
        <w:rPr>
          <w:rFonts w:ascii="Arial MT" w:eastAsia="Arial MT" w:hAnsi="Arial MT" w:cs="Arial MT"/>
          <w:color w:val="0A2F41" w:themeColor="accent1" w:themeShade="80"/>
          <w:kern w:val="0"/>
          <w:sz w:val="17"/>
          <w:szCs w:val="16"/>
          <w:lang w:eastAsia="en-US"/>
          <w14:ligatures w14:val="none"/>
        </w:rPr>
        <w:t>Hemoglobin</w:t>
      </w:r>
      <w:proofErr w:type="spellEnd"/>
      <w:r w:rsidRPr="00BD14C9">
        <w:rPr>
          <w:rFonts w:ascii="Arial MT" w:eastAsia="Arial MT" w:hAnsi="Arial MT" w:cs="Arial MT"/>
          <w:color w:val="0A2F41" w:themeColor="accent1" w:themeShade="80"/>
          <w:kern w:val="0"/>
          <w:sz w:val="17"/>
          <w:szCs w:val="16"/>
          <w:lang w:eastAsia="en-US"/>
          <w14:ligatures w14:val="none"/>
        </w:rPr>
        <w:t xml:space="preserve">. Also add the contents or one vial of Yeast Autolysate Supplement or </w:t>
      </w:r>
      <w:proofErr w:type="spellStart"/>
      <w:r w:rsidRPr="00BD14C9">
        <w:rPr>
          <w:rFonts w:ascii="Arial MT" w:eastAsia="Arial MT" w:hAnsi="Arial MT" w:cs="Arial MT"/>
          <w:color w:val="0A2F41" w:themeColor="accent1" w:themeShade="80"/>
          <w:kern w:val="0"/>
          <w:sz w:val="17"/>
          <w:szCs w:val="16"/>
          <w:lang w:eastAsia="en-US"/>
          <w14:ligatures w14:val="none"/>
        </w:rPr>
        <w:t>Vitamino</w:t>
      </w:r>
      <w:proofErr w:type="spellEnd"/>
      <w:r w:rsidRPr="00BD14C9">
        <w:rPr>
          <w:rFonts w:ascii="Arial MT" w:eastAsia="Arial MT" w:hAnsi="Arial MT" w:cs="Arial MT"/>
          <w:color w:val="0A2F41" w:themeColor="accent1" w:themeShade="80"/>
          <w:kern w:val="0"/>
          <w:sz w:val="17"/>
          <w:szCs w:val="16"/>
          <w:lang w:eastAsia="en-US"/>
          <w14:ligatures w14:val="none"/>
        </w:rPr>
        <w:t xml:space="preserve"> Growth Supplement reconstituted as directed. Mix well and pour into sterile Petri plates. When single strength medium is desired, suspend 45.5 grams in 1000 ml distilled water.</w:t>
      </w:r>
    </w:p>
    <w:p w14:paraId="7EA5D6C5" w14:textId="77777777" w:rsidR="00BD14C9" w:rsidRPr="00BD14C9" w:rsidRDefault="00BD14C9" w:rsidP="00BD14C9">
      <w:pPr>
        <w:rPr>
          <w:lang w:eastAsia="en-US"/>
        </w:rPr>
      </w:pPr>
    </w:p>
    <w:p w14:paraId="5EF68A78" w14:textId="5CA6CDDE" w:rsidR="00424BB9" w:rsidRPr="00B63AF5" w:rsidRDefault="004617AD" w:rsidP="005471C2">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0F8C4C7" w14:textId="77777777" w:rsidR="009710F1" w:rsidRDefault="009710F1" w:rsidP="009710F1">
      <w:pPr>
        <w:spacing w:line="239" w:lineRule="auto"/>
        <w:ind w:right="131"/>
        <w:rPr>
          <w:rFonts w:asciiTheme="minorBidi" w:hAnsiTheme="minorBidi" w:cstheme="minorBidi"/>
          <w:b/>
          <w:bCs/>
        </w:rPr>
      </w:pPr>
    </w:p>
    <w:p w14:paraId="5D50D85B" w14:textId="7A82FAF9" w:rsidR="00AA394A" w:rsidRDefault="005D2B78" w:rsidP="00BD14C9">
      <w:pPr>
        <w:spacing w:line="239" w:lineRule="auto"/>
        <w:ind w:right="131"/>
        <w:rPr>
          <w:b/>
          <w:color w:val="0A2F41" w:themeColor="accent1" w:themeShade="80"/>
          <w:kern w:val="0"/>
          <w:szCs w:val="18"/>
          <w:lang w:eastAsia="en-US"/>
          <w14:ligatures w14:val="none"/>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BD14C9" w:rsidRPr="00BD14C9">
        <w:rPr>
          <w:color w:val="0A2F41" w:themeColor="accent1" w:themeShade="80"/>
          <w:lang w:val="en-US"/>
        </w:rPr>
        <w:t>Chocolate Agar Base</w:t>
      </w:r>
      <w:r w:rsidR="00E25043" w:rsidRPr="00E25043">
        <w:rPr>
          <w:color w:val="0A2F41" w:themeColor="accent1" w:themeShade="80"/>
        </w:rPr>
        <w:t xml:space="preserve"> </w:t>
      </w:r>
      <w:r w:rsidR="00193D74" w:rsidRPr="00193D74">
        <w:rPr>
          <w:color w:val="0A2F41" w:themeColor="accent1" w:themeShade="80"/>
        </w:rPr>
        <w:t xml:space="preserve">is </w:t>
      </w:r>
      <w:r w:rsidR="00BD14C9" w:rsidRPr="00BD14C9">
        <w:rPr>
          <w:color w:val="0A2F41" w:themeColor="accent1" w:themeShade="80"/>
        </w:rPr>
        <w:t xml:space="preserve">cream to yellow homogeneous free flowing powder. Basal medium: Light amber </w:t>
      </w:r>
      <w:proofErr w:type="spellStart"/>
      <w:r w:rsidR="00BD14C9" w:rsidRPr="00BD14C9">
        <w:rPr>
          <w:color w:val="0A2F41" w:themeColor="accent1" w:themeShade="80"/>
        </w:rPr>
        <w:t>colored</w:t>
      </w:r>
      <w:proofErr w:type="spellEnd"/>
      <w:r w:rsidR="00BD14C9" w:rsidRPr="00BD14C9">
        <w:rPr>
          <w:color w:val="0A2F41" w:themeColor="accent1" w:themeShade="80"/>
        </w:rPr>
        <w:t xml:space="preserve"> clear to slightly opalescent gel. After addition of </w:t>
      </w:r>
      <w:proofErr w:type="spellStart"/>
      <w:r w:rsidR="00BD14C9" w:rsidRPr="00BD14C9">
        <w:rPr>
          <w:color w:val="0A2F41" w:themeColor="accent1" w:themeShade="80"/>
        </w:rPr>
        <w:t>hemoglobin</w:t>
      </w:r>
      <w:proofErr w:type="spellEnd"/>
      <w:r w:rsidR="00BD14C9" w:rsidRPr="00BD14C9">
        <w:rPr>
          <w:color w:val="0A2F41" w:themeColor="accent1" w:themeShade="80"/>
        </w:rPr>
        <w:t xml:space="preserve">: Chocolate brown </w:t>
      </w:r>
      <w:proofErr w:type="spellStart"/>
      <w:r w:rsidR="00BD14C9" w:rsidRPr="00BD14C9">
        <w:rPr>
          <w:color w:val="0A2F41" w:themeColor="accent1" w:themeShade="80"/>
        </w:rPr>
        <w:t>colored</w:t>
      </w:r>
      <w:proofErr w:type="spellEnd"/>
      <w:r w:rsidR="00BD14C9" w:rsidRPr="00BD14C9">
        <w:rPr>
          <w:color w:val="0A2F41" w:themeColor="accent1" w:themeShade="80"/>
        </w:rPr>
        <w:t xml:space="preserve"> opaque gel forms in Petri plates. If there are any physical changes for powder or signs of deterioration (shrinking, cracking, or discoloration), and contaminations for hydrated media, discard the medium.</w:t>
      </w:r>
    </w:p>
    <w:p w14:paraId="5DBB3EE2" w14:textId="77777777" w:rsidR="00BD14C9" w:rsidRDefault="00BD14C9" w:rsidP="00BD14C9">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5A53D956" w14:textId="77777777" w:rsidR="00BD14C9" w:rsidRDefault="00BD14C9" w:rsidP="00BD14C9">
      <w:pPr>
        <w:pStyle w:val="Heading1"/>
        <w:spacing w:after="0"/>
        <w:ind w:left="0"/>
        <w:rPr>
          <w:bCs/>
          <w:color w:val="0A2F41" w:themeColor="accent1" w:themeShade="80"/>
          <w:kern w:val="0"/>
          <w:szCs w:val="18"/>
          <w:lang w:eastAsia="en-US"/>
          <w14:ligatures w14:val="none"/>
        </w:rPr>
      </w:pPr>
      <w:r w:rsidRPr="00BD14C9">
        <w:rPr>
          <w:b w:val="0"/>
          <w:color w:val="0A2F41" w:themeColor="accent1" w:themeShade="80"/>
          <w:kern w:val="0"/>
          <w:szCs w:val="18"/>
          <w:lang w:eastAsia="en-US"/>
          <w14:ligatures w14:val="none"/>
        </w:rPr>
        <w:t xml:space="preserve">Clinical samples - urethral swabs, urine samples. </w:t>
      </w:r>
    </w:p>
    <w:p w14:paraId="0050CDF7" w14:textId="5DC5A2DD" w:rsidR="0063335A" w:rsidRPr="00BA3D57" w:rsidRDefault="0063335A" w:rsidP="00BD14C9">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371567DF" w:rsidR="0063335A" w:rsidRPr="00BA3D57" w:rsidRDefault="0063335A" w:rsidP="00BD14C9">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BD14C9">
        <w:rPr>
          <w:b w:val="0"/>
          <w:color w:val="0A2F41" w:themeColor="accent1" w:themeShade="80"/>
          <w:kern w:val="0"/>
          <w:szCs w:val="18"/>
          <w:lang w:eastAsia="en-US"/>
          <w14:ligatures w14:val="none"/>
        </w:rPr>
        <w:t>plates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0CF52128" w14:textId="77777777" w:rsidR="00BD14C9" w:rsidRDefault="00BD14C9" w:rsidP="00BD14C9">
      <w:pPr>
        <w:rPr>
          <w:lang w:eastAsia="en-US"/>
        </w:rPr>
      </w:pPr>
    </w:p>
    <w:p w14:paraId="3305B4B4" w14:textId="77777777" w:rsidR="00BD14C9" w:rsidRPr="00BD14C9" w:rsidRDefault="00BD14C9" w:rsidP="00BD14C9">
      <w:pPr>
        <w:rPr>
          <w:lang w:eastAsia="en-US"/>
        </w:rPr>
      </w:pP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7CF22791" w14:textId="77777777" w:rsidR="00BD14C9" w:rsidRDefault="00BD14C9" w:rsidP="00A844D7">
      <w:pPr>
        <w:pStyle w:val="Heading1"/>
        <w:ind w:left="0" w:firstLine="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1389DA4" w:rsidR="007219EE" w:rsidRPr="003F5C9F" w:rsidRDefault="005471C2" w:rsidP="005471C2">
      <w:pPr>
        <w:spacing w:after="76"/>
        <w:ind w:left="-90" w:right="36"/>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Performance of the medium from type cultures after incubation at a temperature of 35 ± 2°C, under 5 - 10% CO2, and observed after 24 - 72 hours. (It is recommended to grow Aspergillus </w:t>
      </w:r>
      <w:proofErr w:type="spellStart"/>
      <w:r w:rsidRPr="005471C2">
        <w:rPr>
          <w:rFonts w:ascii="Arial MT" w:eastAsia="Arial MT" w:hAnsi="Arial MT" w:cs="Arial MT"/>
          <w:color w:val="0A2F41" w:themeColor="accent1" w:themeShade="80"/>
          <w:kern w:val="0"/>
          <w:szCs w:val="16"/>
          <w:lang w:eastAsia="en-US"/>
          <w14:ligatures w14:val="none"/>
        </w:rPr>
        <w:t>brasiliensis</w:t>
      </w:r>
      <w:proofErr w:type="spellEnd"/>
      <w:r w:rsidRPr="005471C2">
        <w:rPr>
          <w:rFonts w:ascii="Arial MT" w:eastAsia="Arial MT" w:hAnsi="Arial MT" w:cs="Arial MT"/>
          <w:color w:val="0A2F41" w:themeColor="accent1" w:themeShade="80"/>
          <w:kern w:val="0"/>
          <w:szCs w:val="16"/>
          <w:lang w:eastAsia="en-US"/>
          <w14:ligatures w14:val="none"/>
        </w:rPr>
        <w:t xml:space="preserve"> and Saccharomyces cerevisiae aerobically at 30 ± 2°C).</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330"/>
        <w:gridCol w:w="1336"/>
      </w:tblGrid>
      <w:tr w:rsidR="00A844D7" w:rsidRPr="0063335A" w14:paraId="6AB6855B" w14:textId="77777777" w:rsidTr="008A36A8">
        <w:trPr>
          <w:trHeight w:val="13"/>
        </w:trPr>
        <w:tc>
          <w:tcPr>
            <w:tcW w:w="3330"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t>Microorganism</w:t>
            </w:r>
          </w:p>
        </w:tc>
        <w:tc>
          <w:tcPr>
            <w:tcW w:w="1336" w:type="dxa"/>
            <w:tcBorders>
              <w:top w:val="single" w:sz="18" w:space="0" w:color="92D050"/>
              <w:bottom w:val="single" w:sz="18" w:space="0" w:color="92D050"/>
            </w:tcBorders>
            <w:vAlign w:val="center"/>
          </w:tcPr>
          <w:p w14:paraId="4C1F6019" w14:textId="5FA6DF8E" w:rsidR="00A844D7" w:rsidRPr="0063335A" w:rsidRDefault="00A844D7" w:rsidP="008A36A8">
            <w:pPr>
              <w:spacing w:line="259" w:lineRule="auto"/>
              <w:ind w:left="180" w:right="52"/>
              <w:jc w:val="center"/>
              <w:rPr>
                <w:color w:val="156082" w:themeColor="accent1"/>
              </w:rPr>
            </w:pPr>
            <w:r>
              <w:rPr>
                <w:b/>
                <w:color w:val="156082" w:themeColor="accent1"/>
              </w:rPr>
              <w:t>Growth</w:t>
            </w:r>
          </w:p>
        </w:tc>
      </w:tr>
      <w:tr w:rsidR="00A844D7" w:rsidRPr="0063335A" w14:paraId="5835F9F1" w14:textId="77777777" w:rsidTr="008A36A8">
        <w:trPr>
          <w:trHeight w:val="13"/>
        </w:trPr>
        <w:tc>
          <w:tcPr>
            <w:tcW w:w="3330" w:type="dxa"/>
            <w:tcBorders>
              <w:top w:val="single" w:sz="18" w:space="0" w:color="92D050"/>
            </w:tcBorders>
            <w:vAlign w:val="center"/>
          </w:tcPr>
          <w:p w14:paraId="7726F1EF" w14:textId="77AD49BA" w:rsidR="00A844D7" w:rsidRPr="0063335A" w:rsidRDefault="003C1429" w:rsidP="003C1429">
            <w:pPr>
              <w:spacing w:line="259" w:lineRule="auto"/>
              <w:ind w:left="-108"/>
              <w:jc w:val="left"/>
              <w:rPr>
                <w:color w:val="156082" w:themeColor="accent1"/>
              </w:rPr>
            </w:pPr>
            <w:r w:rsidRPr="003C1429">
              <w:rPr>
                <w:i/>
                <w:color w:val="156082" w:themeColor="accent1"/>
              </w:rPr>
              <w:t>Neisseria gonorrhoeae ATCC 19424</w:t>
            </w:r>
          </w:p>
        </w:tc>
        <w:tc>
          <w:tcPr>
            <w:tcW w:w="1336" w:type="dxa"/>
            <w:tcBorders>
              <w:top w:val="single" w:sz="18" w:space="0" w:color="92D050"/>
            </w:tcBorders>
            <w:vAlign w:val="center"/>
          </w:tcPr>
          <w:p w14:paraId="2C1C6406" w14:textId="77777777" w:rsidR="00A844D7" w:rsidRPr="0063335A" w:rsidRDefault="00A844D7" w:rsidP="008A36A8">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8A36A8">
        <w:trPr>
          <w:trHeight w:val="13"/>
        </w:trPr>
        <w:tc>
          <w:tcPr>
            <w:tcW w:w="3330" w:type="dxa"/>
            <w:vAlign w:val="center"/>
          </w:tcPr>
          <w:p w14:paraId="29C2827F" w14:textId="51882EE8" w:rsidR="00A844D7" w:rsidRPr="0063335A" w:rsidRDefault="003C1429" w:rsidP="003C1429">
            <w:pPr>
              <w:spacing w:line="259" w:lineRule="auto"/>
              <w:ind w:left="-108"/>
              <w:jc w:val="left"/>
              <w:rPr>
                <w:color w:val="156082" w:themeColor="accent1"/>
              </w:rPr>
            </w:pPr>
            <w:r w:rsidRPr="003C1429">
              <w:rPr>
                <w:i/>
                <w:color w:val="156082" w:themeColor="accent1"/>
              </w:rPr>
              <w:t>Haemophilus influenzae ATCC 19418</w:t>
            </w:r>
          </w:p>
        </w:tc>
        <w:tc>
          <w:tcPr>
            <w:tcW w:w="1336" w:type="dxa"/>
            <w:vAlign w:val="center"/>
          </w:tcPr>
          <w:p w14:paraId="261503DA"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8A36A8">
        <w:trPr>
          <w:trHeight w:val="13"/>
        </w:trPr>
        <w:tc>
          <w:tcPr>
            <w:tcW w:w="3330" w:type="dxa"/>
            <w:vAlign w:val="center"/>
          </w:tcPr>
          <w:p w14:paraId="5F03E55E" w14:textId="5F89E14A" w:rsidR="00A844D7" w:rsidRPr="0063335A" w:rsidRDefault="003C1429" w:rsidP="003C1429">
            <w:pPr>
              <w:spacing w:line="259" w:lineRule="auto"/>
              <w:ind w:left="-108" w:right="57"/>
              <w:jc w:val="left"/>
              <w:rPr>
                <w:color w:val="156082" w:themeColor="accent1"/>
              </w:rPr>
            </w:pPr>
            <w:r w:rsidRPr="003C1429">
              <w:rPr>
                <w:i/>
                <w:color w:val="156082" w:themeColor="accent1"/>
              </w:rPr>
              <w:t>Streptococcus pyogenes ATCC 19615</w:t>
            </w:r>
          </w:p>
        </w:tc>
        <w:tc>
          <w:tcPr>
            <w:tcW w:w="1336" w:type="dxa"/>
            <w:vAlign w:val="center"/>
          </w:tcPr>
          <w:p w14:paraId="33833631"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3C1429" w:rsidRPr="0063335A" w14:paraId="662E98F2" w14:textId="77777777" w:rsidTr="008A36A8">
        <w:trPr>
          <w:trHeight w:val="13"/>
        </w:trPr>
        <w:tc>
          <w:tcPr>
            <w:tcW w:w="3330" w:type="dxa"/>
            <w:vAlign w:val="center"/>
          </w:tcPr>
          <w:p w14:paraId="18C99CEF" w14:textId="6A5A5D0A" w:rsidR="003C1429" w:rsidRPr="003C1429" w:rsidRDefault="003C1429" w:rsidP="003C1429">
            <w:pPr>
              <w:spacing w:line="259" w:lineRule="auto"/>
              <w:ind w:left="-108" w:right="57"/>
              <w:jc w:val="left"/>
              <w:rPr>
                <w:i/>
                <w:color w:val="156082" w:themeColor="accent1"/>
              </w:rPr>
            </w:pPr>
            <w:r w:rsidRPr="003C1429">
              <w:rPr>
                <w:i/>
                <w:color w:val="156082" w:themeColor="accent1"/>
              </w:rPr>
              <w:t>Neisseria meningitidis ATCC 13090</w:t>
            </w:r>
          </w:p>
        </w:tc>
        <w:tc>
          <w:tcPr>
            <w:tcW w:w="1336" w:type="dxa"/>
            <w:vAlign w:val="center"/>
          </w:tcPr>
          <w:p w14:paraId="09964DAD" w14:textId="5A75653F" w:rsidR="003C1429" w:rsidRPr="00E25C5F" w:rsidRDefault="003C1429" w:rsidP="008A36A8">
            <w:pPr>
              <w:spacing w:line="259" w:lineRule="auto"/>
              <w:ind w:left="180" w:right="57"/>
              <w:jc w:val="center"/>
              <w:rPr>
                <w:color w:val="156082" w:themeColor="accent1"/>
              </w:rPr>
            </w:pPr>
            <w:r w:rsidRPr="00E25C5F">
              <w:rPr>
                <w:color w:val="156082" w:themeColor="accent1"/>
              </w:rPr>
              <w:t>Luxuriant</w:t>
            </w:r>
          </w:p>
        </w:tc>
      </w:tr>
      <w:tr w:rsidR="008A36A8" w:rsidRPr="0063335A" w14:paraId="35013750" w14:textId="77777777" w:rsidTr="008A36A8">
        <w:trPr>
          <w:trHeight w:val="13"/>
        </w:trPr>
        <w:tc>
          <w:tcPr>
            <w:tcW w:w="3330" w:type="dxa"/>
            <w:vAlign w:val="center"/>
          </w:tcPr>
          <w:p w14:paraId="57D4B403" w14:textId="0B44451B" w:rsidR="008A36A8" w:rsidRPr="00D241F3" w:rsidRDefault="003C1429" w:rsidP="003C1429">
            <w:pPr>
              <w:spacing w:line="259" w:lineRule="auto"/>
              <w:ind w:left="-108"/>
              <w:jc w:val="left"/>
              <w:rPr>
                <w:i/>
                <w:color w:val="156082" w:themeColor="accent1"/>
                <w:lang w:val="en-US"/>
              </w:rPr>
            </w:pPr>
            <w:r w:rsidRPr="003C1429">
              <w:rPr>
                <w:i/>
                <w:color w:val="156082" w:themeColor="accent1"/>
              </w:rPr>
              <w:t>Streptococcus pneumoniae ATCC 6303</w:t>
            </w:r>
          </w:p>
        </w:tc>
        <w:tc>
          <w:tcPr>
            <w:tcW w:w="1336" w:type="dxa"/>
            <w:vAlign w:val="center"/>
          </w:tcPr>
          <w:p w14:paraId="160ABCFF" w14:textId="478BF79B" w:rsidR="008A36A8" w:rsidRPr="0063335A" w:rsidRDefault="008A36A8" w:rsidP="008A36A8">
            <w:pPr>
              <w:spacing w:line="259" w:lineRule="auto"/>
              <w:ind w:left="180" w:right="50"/>
              <w:jc w:val="center"/>
              <w:rPr>
                <w:color w:val="156082" w:themeColor="accent1"/>
              </w:rPr>
            </w:pPr>
            <w:r w:rsidRPr="00FA4F5A">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34C2A10" w14:textId="77777777" w:rsidR="003C1429" w:rsidRDefault="003C1429" w:rsidP="003C1429">
      <w:pPr>
        <w:spacing w:after="55" w:line="259" w:lineRule="auto"/>
        <w:rPr>
          <w:rFonts w:ascii="Arial MT" w:eastAsia="Arial MT" w:hAnsi="Arial MT" w:cs="Arial MT"/>
          <w:color w:val="0A2F41" w:themeColor="accent1" w:themeShade="80"/>
          <w:kern w:val="0"/>
          <w:szCs w:val="16"/>
          <w:lang w:eastAsia="en-US"/>
          <w14:ligatures w14:val="none"/>
        </w:rPr>
      </w:pPr>
      <w:r w:rsidRPr="003C1429">
        <w:rPr>
          <w:rFonts w:ascii="Arial MT" w:eastAsia="Arial MT" w:hAnsi="Arial MT" w:cs="Arial MT"/>
          <w:color w:val="0A2F41" w:themeColor="accent1" w:themeShade="80"/>
          <w:kern w:val="0"/>
          <w:szCs w:val="16"/>
          <w:lang w:eastAsia="en-US"/>
          <w14:ligatures w14:val="none"/>
        </w:rPr>
        <w:t xml:space="preserve">1-McLeod J. W., Cootes J. C., Happold F. C., Priestely D. P., Wheatley B., 1934, J. Path. </w:t>
      </w:r>
      <w:proofErr w:type="spellStart"/>
      <w:r w:rsidRPr="003C1429">
        <w:rPr>
          <w:rFonts w:ascii="Arial MT" w:eastAsia="Arial MT" w:hAnsi="Arial MT" w:cs="Arial MT"/>
          <w:color w:val="0A2F41" w:themeColor="accent1" w:themeShade="80"/>
          <w:kern w:val="0"/>
          <w:szCs w:val="16"/>
          <w:lang w:eastAsia="en-US"/>
          <w14:ligatures w14:val="none"/>
        </w:rPr>
        <w:t>Bacteriol</w:t>
      </w:r>
      <w:proofErr w:type="spellEnd"/>
      <w:r w:rsidRPr="003C1429">
        <w:rPr>
          <w:rFonts w:ascii="Arial MT" w:eastAsia="Arial MT" w:hAnsi="Arial MT" w:cs="Arial MT"/>
          <w:color w:val="0A2F41" w:themeColor="accent1" w:themeShade="80"/>
          <w:kern w:val="0"/>
          <w:szCs w:val="16"/>
          <w:lang w:eastAsia="en-US"/>
          <w14:ligatures w14:val="none"/>
        </w:rPr>
        <w:t xml:space="preserve">., 39:221. </w:t>
      </w:r>
    </w:p>
    <w:p w14:paraId="77D37820" w14:textId="77777777" w:rsidR="003C1429" w:rsidRDefault="003C1429" w:rsidP="003C1429">
      <w:pPr>
        <w:spacing w:after="55" w:line="259" w:lineRule="auto"/>
        <w:rPr>
          <w:rFonts w:ascii="Arial MT" w:eastAsia="Arial MT" w:hAnsi="Arial MT" w:cs="Arial MT"/>
          <w:color w:val="0A2F41" w:themeColor="accent1" w:themeShade="80"/>
          <w:kern w:val="0"/>
          <w:szCs w:val="16"/>
          <w:lang w:eastAsia="en-US"/>
          <w14:ligatures w14:val="none"/>
        </w:rPr>
      </w:pPr>
      <w:r w:rsidRPr="003C1429">
        <w:rPr>
          <w:rFonts w:ascii="Arial MT" w:eastAsia="Arial MT" w:hAnsi="Arial MT" w:cs="Arial MT"/>
          <w:color w:val="0A2F41" w:themeColor="accent1" w:themeShade="80"/>
          <w:kern w:val="0"/>
          <w:szCs w:val="16"/>
          <w:lang w:eastAsia="en-US"/>
          <w14:ligatures w14:val="none"/>
        </w:rPr>
        <w:t>2-Seventh Annual Year book (1936-37) P.133, supple., Am. J. Pub.Health.27: no.</w:t>
      </w:r>
      <w:proofErr w:type="gramStart"/>
      <w:r w:rsidRPr="003C1429">
        <w:rPr>
          <w:rFonts w:ascii="Arial MT" w:eastAsia="Arial MT" w:hAnsi="Arial MT" w:cs="Arial MT"/>
          <w:color w:val="0A2F41" w:themeColor="accent1" w:themeShade="80"/>
          <w:kern w:val="0"/>
          <w:szCs w:val="16"/>
          <w:lang w:eastAsia="en-US"/>
          <w14:ligatures w14:val="none"/>
        </w:rPr>
        <w:t>3 :</w:t>
      </w:r>
      <w:proofErr w:type="gramEnd"/>
      <w:r w:rsidRPr="003C1429">
        <w:rPr>
          <w:rFonts w:ascii="Arial MT" w:eastAsia="Arial MT" w:hAnsi="Arial MT" w:cs="Arial MT"/>
          <w:color w:val="0A2F41" w:themeColor="accent1" w:themeShade="80"/>
          <w:kern w:val="0"/>
          <w:szCs w:val="16"/>
          <w:lang w:eastAsia="en-US"/>
          <w14:ligatures w14:val="none"/>
        </w:rPr>
        <w:t xml:space="preserve"> 1937. </w:t>
      </w:r>
    </w:p>
    <w:p w14:paraId="50BCF551" w14:textId="77777777" w:rsidR="003C1429" w:rsidRDefault="003C1429" w:rsidP="003C1429">
      <w:pPr>
        <w:spacing w:after="55" w:line="259" w:lineRule="auto"/>
        <w:rPr>
          <w:rFonts w:ascii="Arial MT" w:eastAsia="Arial MT" w:hAnsi="Arial MT" w:cs="Arial MT"/>
          <w:color w:val="0A2F41" w:themeColor="accent1" w:themeShade="80"/>
          <w:kern w:val="0"/>
          <w:szCs w:val="16"/>
          <w:lang w:eastAsia="en-US"/>
          <w14:ligatures w14:val="none"/>
        </w:rPr>
      </w:pPr>
      <w:r w:rsidRPr="003C1429">
        <w:rPr>
          <w:rFonts w:ascii="Arial MT" w:eastAsia="Arial MT" w:hAnsi="Arial MT" w:cs="Arial MT"/>
          <w:color w:val="0A2F41" w:themeColor="accent1" w:themeShade="80"/>
          <w:kern w:val="0"/>
          <w:szCs w:val="16"/>
          <w:lang w:eastAsia="en-US"/>
          <w14:ligatures w14:val="none"/>
        </w:rPr>
        <w:t xml:space="preserve">3-Am. J. </w:t>
      </w:r>
      <w:proofErr w:type="spellStart"/>
      <w:r w:rsidRPr="003C1429">
        <w:rPr>
          <w:rFonts w:ascii="Arial MT" w:eastAsia="Arial MT" w:hAnsi="Arial MT" w:cs="Arial MT"/>
          <w:color w:val="0A2F41" w:themeColor="accent1" w:themeShade="80"/>
          <w:kern w:val="0"/>
          <w:szCs w:val="16"/>
          <w:lang w:eastAsia="en-US"/>
          <w14:ligatures w14:val="none"/>
        </w:rPr>
        <w:t>Syphillis</w:t>
      </w:r>
      <w:proofErr w:type="spellEnd"/>
      <w:r w:rsidRPr="003C1429">
        <w:rPr>
          <w:rFonts w:ascii="Arial MT" w:eastAsia="Arial MT" w:hAnsi="Arial MT" w:cs="Arial MT"/>
          <w:color w:val="0A2F41" w:themeColor="accent1" w:themeShade="80"/>
          <w:kern w:val="0"/>
          <w:szCs w:val="16"/>
          <w:lang w:eastAsia="en-US"/>
          <w14:ligatures w14:val="none"/>
        </w:rPr>
        <w:t xml:space="preserve">, 22:55:1938 </w:t>
      </w:r>
    </w:p>
    <w:p w14:paraId="5AD652C7" w14:textId="77777777" w:rsidR="003C1429" w:rsidRDefault="003C1429" w:rsidP="003C1429">
      <w:pPr>
        <w:spacing w:after="55" w:line="259" w:lineRule="auto"/>
        <w:rPr>
          <w:rFonts w:ascii="Arial MT" w:eastAsia="Arial MT" w:hAnsi="Arial MT" w:cs="Arial MT"/>
          <w:color w:val="0A2F41" w:themeColor="accent1" w:themeShade="80"/>
          <w:kern w:val="0"/>
          <w:szCs w:val="16"/>
          <w:lang w:eastAsia="en-US"/>
          <w14:ligatures w14:val="none"/>
        </w:rPr>
      </w:pPr>
      <w:r w:rsidRPr="003C1429">
        <w:rPr>
          <w:rFonts w:ascii="Arial MT" w:eastAsia="Arial MT" w:hAnsi="Arial MT" w:cs="Arial MT"/>
          <w:color w:val="0A2F41" w:themeColor="accent1" w:themeShade="80"/>
          <w:kern w:val="0"/>
          <w:szCs w:val="16"/>
          <w:lang w:eastAsia="en-US"/>
          <w14:ligatures w14:val="none"/>
        </w:rPr>
        <w:t xml:space="preserve">4-Carpenter C. M., Bucca M. A., Buck T. C., Casman E. P., </w:t>
      </w:r>
      <w:proofErr w:type="spellStart"/>
      <w:r w:rsidRPr="003C1429">
        <w:rPr>
          <w:rFonts w:ascii="Arial MT" w:eastAsia="Arial MT" w:hAnsi="Arial MT" w:cs="Arial MT"/>
          <w:color w:val="0A2F41" w:themeColor="accent1" w:themeShade="80"/>
          <w:kern w:val="0"/>
          <w:szCs w:val="16"/>
          <w:lang w:eastAsia="en-US"/>
          <w14:ligatures w14:val="none"/>
        </w:rPr>
        <w:t>Vhristensen</w:t>
      </w:r>
      <w:proofErr w:type="spellEnd"/>
      <w:r w:rsidRPr="003C1429">
        <w:rPr>
          <w:rFonts w:ascii="Arial MT" w:eastAsia="Arial MT" w:hAnsi="Arial MT" w:cs="Arial MT"/>
          <w:color w:val="0A2F41" w:themeColor="accent1" w:themeShade="80"/>
          <w:kern w:val="0"/>
          <w:szCs w:val="16"/>
          <w:lang w:eastAsia="en-US"/>
          <w14:ligatures w14:val="none"/>
        </w:rPr>
        <w:t xml:space="preserve"> C. W., Crowe E., Drew R., Hill J., Lankford L. </w:t>
      </w:r>
      <w:proofErr w:type="spellStart"/>
      <w:proofErr w:type="gramStart"/>
      <w:r w:rsidRPr="003C1429">
        <w:rPr>
          <w:rFonts w:ascii="Arial MT" w:eastAsia="Arial MT" w:hAnsi="Arial MT" w:cs="Arial MT"/>
          <w:color w:val="0A2F41" w:themeColor="accent1" w:themeShade="80"/>
          <w:kern w:val="0"/>
          <w:szCs w:val="16"/>
          <w:lang w:eastAsia="en-US"/>
          <w14:ligatures w14:val="none"/>
        </w:rPr>
        <w:t>E.,Morton</w:t>
      </w:r>
      <w:proofErr w:type="spellEnd"/>
      <w:proofErr w:type="gramEnd"/>
      <w:r w:rsidRPr="003C1429">
        <w:rPr>
          <w:rFonts w:ascii="Arial MT" w:eastAsia="Arial MT" w:hAnsi="Arial MT" w:cs="Arial MT"/>
          <w:color w:val="0A2F41" w:themeColor="accent1" w:themeShade="80"/>
          <w:kern w:val="0"/>
          <w:szCs w:val="16"/>
          <w:lang w:eastAsia="en-US"/>
          <w14:ligatures w14:val="none"/>
        </w:rPr>
        <w:t xml:space="preserve"> H.E., </w:t>
      </w:r>
      <w:proofErr w:type="spellStart"/>
      <w:r w:rsidRPr="003C1429">
        <w:rPr>
          <w:rFonts w:ascii="Arial MT" w:eastAsia="Arial MT" w:hAnsi="Arial MT" w:cs="Arial MT"/>
          <w:color w:val="0A2F41" w:themeColor="accent1" w:themeShade="80"/>
          <w:kern w:val="0"/>
          <w:szCs w:val="16"/>
          <w:lang w:eastAsia="en-US"/>
          <w14:ligatures w14:val="none"/>
        </w:rPr>
        <w:t>Peizer</w:t>
      </w:r>
      <w:proofErr w:type="spellEnd"/>
      <w:r w:rsidRPr="003C1429">
        <w:rPr>
          <w:rFonts w:ascii="Arial MT" w:eastAsia="Arial MT" w:hAnsi="Arial MT" w:cs="Arial MT"/>
          <w:color w:val="0A2F41" w:themeColor="accent1" w:themeShade="80"/>
          <w:kern w:val="0"/>
          <w:szCs w:val="16"/>
          <w:lang w:eastAsia="en-US"/>
          <w14:ligatures w14:val="none"/>
        </w:rPr>
        <w:t xml:space="preserve"> L. R., Shaw C. J., and Thayer J. D., 1949, Am. J. </w:t>
      </w:r>
      <w:proofErr w:type="spellStart"/>
      <w:r w:rsidRPr="003C1429">
        <w:rPr>
          <w:rFonts w:ascii="Arial MT" w:eastAsia="Arial MT" w:hAnsi="Arial MT" w:cs="Arial MT"/>
          <w:color w:val="0A2F41" w:themeColor="accent1" w:themeShade="80"/>
          <w:kern w:val="0"/>
          <w:szCs w:val="16"/>
          <w:lang w:eastAsia="en-US"/>
          <w14:ligatures w14:val="none"/>
        </w:rPr>
        <w:t>Syphil</w:t>
      </w:r>
      <w:proofErr w:type="spellEnd"/>
      <w:r w:rsidRPr="003C1429">
        <w:rPr>
          <w:rFonts w:ascii="Arial MT" w:eastAsia="Arial MT" w:hAnsi="Arial MT" w:cs="Arial MT"/>
          <w:color w:val="0A2F41" w:themeColor="accent1" w:themeShade="80"/>
          <w:kern w:val="0"/>
          <w:szCs w:val="16"/>
          <w:lang w:eastAsia="en-US"/>
          <w14:ligatures w14:val="none"/>
        </w:rPr>
        <w:t xml:space="preserve">. </w:t>
      </w:r>
      <w:proofErr w:type="spellStart"/>
      <w:r w:rsidRPr="003C1429">
        <w:rPr>
          <w:rFonts w:ascii="Arial MT" w:eastAsia="Arial MT" w:hAnsi="Arial MT" w:cs="Arial MT"/>
          <w:color w:val="0A2F41" w:themeColor="accent1" w:themeShade="80"/>
          <w:kern w:val="0"/>
          <w:szCs w:val="16"/>
          <w:lang w:eastAsia="en-US"/>
          <w14:ligatures w14:val="none"/>
        </w:rPr>
        <w:t>Gonorrh</w:t>
      </w:r>
      <w:proofErr w:type="spellEnd"/>
      <w:r w:rsidRPr="003C1429">
        <w:rPr>
          <w:rFonts w:ascii="Arial MT" w:eastAsia="Arial MT" w:hAnsi="Arial MT" w:cs="Arial MT"/>
          <w:color w:val="0A2F41" w:themeColor="accent1" w:themeShade="80"/>
          <w:kern w:val="0"/>
          <w:szCs w:val="16"/>
          <w:lang w:eastAsia="en-US"/>
          <w14:ligatures w14:val="none"/>
        </w:rPr>
        <w:t xml:space="preserve">. </w:t>
      </w:r>
      <w:proofErr w:type="spellStart"/>
      <w:r w:rsidRPr="003C1429">
        <w:rPr>
          <w:rFonts w:ascii="Arial MT" w:eastAsia="Arial MT" w:hAnsi="Arial MT" w:cs="Arial MT"/>
          <w:color w:val="0A2F41" w:themeColor="accent1" w:themeShade="80"/>
          <w:kern w:val="0"/>
          <w:szCs w:val="16"/>
          <w:lang w:eastAsia="en-US"/>
          <w14:ligatures w14:val="none"/>
        </w:rPr>
        <w:t>Veneral</w:t>
      </w:r>
      <w:proofErr w:type="spellEnd"/>
      <w:r w:rsidRPr="003C1429">
        <w:rPr>
          <w:rFonts w:ascii="Arial MT" w:eastAsia="Arial MT" w:hAnsi="Arial MT" w:cs="Arial MT"/>
          <w:color w:val="0A2F41" w:themeColor="accent1" w:themeShade="80"/>
          <w:kern w:val="0"/>
          <w:szCs w:val="16"/>
          <w:lang w:eastAsia="en-US"/>
          <w14:ligatures w14:val="none"/>
        </w:rPr>
        <w:t xml:space="preserve"> Diseases, 33:164. </w:t>
      </w:r>
    </w:p>
    <w:p w14:paraId="4CFC8D09" w14:textId="6B327814" w:rsidR="003C1429" w:rsidRDefault="003C1429" w:rsidP="003C1429">
      <w:pPr>
        <w:spacing w:after="55" w:line="259" w:lineRule="auto"/>
        <w:rPr>
          <w:rFonts w:ascii="Arial MT" w:eastAsia="Arial MT" w:hAnsi="Arial MT" w:cs="Arial MT"/>
          <w:color w:val="0A2F41" w:themeColor="accent1" w:themeShade="80"/>
          <w:kern w:val="0"/>
          <w:szCs w:val="16"/>
          <w:lang w:eastAsia="en-US"/>
          <w14:ligatures w14:val="none"/>
        </w:rPr>
      </w:pPr>
      <w:r w:rsidRPr="003C1429">
        <w:rPr>
          <w:rFonts w:ascii="Arial MT" w:eastAsia="Arial MT" w:hAnsi="Arial MT" w:cs="Arial MT"/>
          <w:color w:val="0A2F41" w:themeColor="accent1" w:themeShade="80"/>
          <w:kern w:val="0"/>
          <w:szCs w:val="16"/>
          <w:lang w:eastAsia="en-US"/>
          <w14:ligatures w14:val="none"/>
        </w:rPr>
        <w:t xml:space="preserve">5-Jorgensen, J.H., Pfaller, M.A., Carroll, K.C., Funke, G., Landry, M.L., Richter, S.S and Warnock., </w:t>
      </w:r>
      <w:proofErr w:type="gramStart"/>
      <w:r w:rsidRPr="003C1429">
        <w:rPr>
          <w:rFonts w:ascii="Arial MT" w:eastAsia="Arial MT" w:hAnsi="Arial MT" w:cs="Arial MT"/>
          <w:color w:val="0A2F41" w:themeColor="accent1" w:themeShade="80"/>
          <w:kern w:val="0"/>
          <w:szCs w:val="16"/>
          <w:lang w:eastAsia="en-US"/>
          <w14:ligatures w14:val="none"/>
        </w:rPr>
        <w:t>D.W.(</w:t>
      </w:r>
      <w:proofErr w:type="gramEnd"/>
      <w:r w:rsidRPr="003C1429">
        <w:rPr>
          <w:rFonts w:ascii="Arial MT" w:eastAsia="Arial MT" w:hAnsi="Arial MT" w:cs="Arial MT"/>
          <w:color w:val="0A2F41" w:themeColor="accent1" w:themeShade="80"/>
          <w:kern w:val="0"/>
          <w:szCs w:val="16"/>
          <w:lang w:eastAsia="en-US"/>
          <w14:ligatures w14:val="none"/>
        </w:rPr>
        <w:t xml:space="preserve">2015) Manual of Clinical Microbiology, 11th Edition. Vol. 1. </w:t>
      </w:r>
    </w:p>
    <w:p w14:paraId="7A9F257E" w14:textId="0FBB6631" w:rsidR="00424BB9" w:rsidRDefault="003C1429" w:rsidP="003C1429">
      <w:pPr>
        <w:spacing w:after="55" w:line="259" w:lineRule="auto"/>
      </w:pPr>
      <w:r w:rsidRPr="003C1429">
        <w:rPr>
          <w:rFonts w:ascii="Arial MT" w:eastAsia="Arial MT" w:hAnsi="Arial MT" w:cs="Arial MT"/>
          <w:color w:val="0A2F41" w:themeColor="accent1" w:themeShade="80"/>
          <w:kern w:val="0"/>
          <w:szCs w:val="16"/>
          <w:lang w:eastAsia="en-US"/>
          <w14:ligatures w14:val="none"/>
        </w:rPr>
        <w:t>6-Isenberg, H.D. Clinical Microbiology Procedures Handbook 2nd Edition</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9824" w14:textId="77777777" w:rsidR="007F49C4" w:rsidRDefault="007F49C4" w:rsidP="005A6328">
      <w:pPr>
        <w:spacing w:after="0" w:line="240" w:lineRule="auto"/>
      </w:pPr>
      <w:r>
        <w:separator/>
      </w:r>
    </w:p>
  </w:endnote>
  <w:endnote w:type="continuationSeparator" w:id="0">
    <w:p w14:paraId="6C4F295E" w14:textId="77777777" w:rsidR="007F49C4" w:rsidRDefault="007F49C4"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649D" w14:textId="77777777" w:rsidR="007F49C4" w:rsidRDefault="007F49C4" w:rsidP="005A6328">
      <w:pPr>
        <w:spacing w:after="0" w:line="240" w:lineRule="auto"/>
      </w:pPr>
      <w:r>
        <w:separator/>
      </w:r>
    </w:p>
  </w:footnote>
  <w:footnote w:type="continuationSeparator" w:id="0">
    <w:p w14:paraId="1B01B76B" w14:textId="77777777" w:rsidR="007F49C4" w:rsidRDefault="007F49C4"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15:restartNumberingAfterBreak="0">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970595864">
    <w:abstractNumId w:val="6"/>
  </w:num>
  <w:num w:numId="2" w16cid:durableId="1626351721">
    <w:abstractNumId w:val="10"/>
  </w:num>
  <w:num w:numId="3" w16cid:durableId="108740486">
    <w:abstractNumId w:val="17"/>
  </w:num>
  <w:num w:numId="4" w16cid:durableId="1759860222">
    <w:abstractNumId w:val="19"/>
  </w:num>
  <w:num w:numId="5" w16cid:durableId="733894711">
    <w:abstractNumId w:val="4"/>
  </w:num>
  <w:num w:numId="6" w16cid:durableId="608700531">
    <w:abstractNumId w:val="11"/>
  </w:num>
  <w:num w:numId="7" w16cid:durableId="38819858">
    <w:abstractNumId w:val="15"/>
  </w:num>
  <w:num w:numId="8" w16cid:durableId="299268016">
    <w:abstractNumId w:val="3"/>
  </w:num>
  <w:num w:numId="9" w16cid:durableId="724062301">
    <w:abstractNumId w:val="1"/>
  </w:num>
  <w:num w:numId="10" w16cid:durableId="897135398">
    <w:abstractNumId w:val="7"/>
  </w:num>
  <w:num w:numId="11" w16cid:durableId="538322559">
    <w:abstractNumId w:val="5"/>
  </w:num>
  <w:num w:numId="12" w16cid:durableId="1813670231">
    <w:abstractNumId w:val="20"/>
  </w:num>
  <w:num w:numId="13" w16cid:durableId="2054452839">
    <w:abstractNumId w:val="2"/>
  </w:num>
  <w:num w:numId="14" w16cid:durableId="1065640221">
    <w:abstractNumId w:val="16"/>
  </w:num>
  <w:num w:numId="15" w16cid:durableId="832381559">
    <w:abstractNumId w:val="9"/>
  </w:num>
  <w:num w:numId="16" w16cid:durableId="1887183958">
    <w:abstractNumId w:val="18"/>
  </w:num>
  <w:num w:numId="17" w16cid:durableId="2099398140">
    <w:abstractNumId w:val="13"/>
  </w:num>
  <w:num w:numId="18" w16cid:durableId="1503812799">
    <w:abstractNumId w:val="14"/>
  </w:num>
  <w:num w:numId="19" w16cid:durableId="1763186304">
    <w:abstractNumId w:val="0"/>
  </w:num>
  <w:num w:numId="20" w16cid:durableId="1793524025">
    <w:abstractNumId w:val="12"/>
  </w:num>
  <w:num w:numId="21" w16cid:durableId="2124567619">
    <w:abstractNumId w:val="21"/>
  </w:num>
  <w:num w:numId="22" w16cid:durableId="1533566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32E4E"/>
    <w:rsid w:val="000365AE"/>
    <w:rsid w:val="00062D9D"/>
    <w:rsid w:val="00077ED6"/>
    <w:rsid w:val="000E57B1"/>
    <w:rsid w:val="000F3FDE"/>
    <w:rsid w:val="00143E4F"/>
    <w:rsid w:val="00181550"/>
    <w:rsid w:val="00193D74"/>
    <w:rsid w:val="001B6C03"/>
    <w:rsid w:val="001E4E05"/>
    <w:rsid w:val="001F15B7"/>
    <w:rsid w:val="00201436"/>
    <w:rsid w:val="00242663"/>
    <w:rsid w:val="002842D5"/>
    <w:rsid w:val="002B5F89"/>
    <w:rsid w:val="00301CDD"/>
    <w:rsid w:val="0030641E"/>
    <w:rsid w:val="00315D2B"/>
    <w:rsid w:val="00316108"/>
    <w:rsid w:val="003263C0"/>
    <w:rsid w:val="0034108B"/>
    <w:rsid w:val="0034296F"/>
    <w:rsid w:val="0038596C"/>
    <w:rsid w:val="003C1429"/>
    <w:rsid w:val="003C6384"/>
    <w:rsid w:val="003E4015"/>
    <w:rsid w:val="003F5C9F"/>
    <w:rsid w:val="00412EFA"/>
    <w:rsid w:val="00414069"/>
    <w:rsid w:val="004200B8"/>
    <w:rsid w:val="00424BB9"/>
    <w:rsid w:val="0044579F"/>
    <w:rsid w:val="00446087"/>
    <w:rsid w:val="004617AD"/>
    <w:rsid w:val="00497C33"/>
    <w:rsid w:val="0053301F"/>
    <w:rsid w:val="005471C2"/>
    <w:rsid w:val="0055375B"/>
    <w:rsid w:val="005A6328"/>
    <w:rsid w:val="005B7745"/>
    <w:rsid w:val="005D2B78"/>
    <w:rsid w:val="005F3743"/>
    <w:rsid w:val="0063335A"/>
    <w:rsid w:val="00651B8E"/>
    <w:rsid w:val="006D457E"/>
    <w:rsid w:val="0070011D"/>
    <w:rsid w:val="00711E2C"/>
    <w:rsid w:val="007219EE"/>
    <w:rsid w:val="00756A6F"/>
    <w:rsid w:val="007F49C4"/>
    <w:rsid w:val="008278FA"/>
    <w:rsid w:val="0083751B"/>
    <w:rsid w:val="00890069"/>
    <w:rsid w:val="008920C1"/>
    <w:rsid w:val="008A36A8"/>
    <w:rsid w:val="008B0E57"/>
    <w:rsid w:val="008D08D6"/>
    <w:rsid w:val="00906CF9"/>
    <w:rsid w:val="00923D77"/>
    <w:rsid w:val="0093534B"/>
    <w:rsid w:val="00943B95"/>
    <w:rsid w:val="009710F1"/>
    <w:rsid w:val="009A49DC"/>
    <w:rsid w:val="009E740A"/>
    <w:rsid w:val="009E775B"/>
    <w:rsid w:val="00A05EE0"/>
    <w:rsid w:val="00A602A9"/>
    <w:rsid w:val="00A844D7"/>
    <w:rsid w:val="00A91CB4"/>
    <w:rsid w:val="00AA394A"/>
    <w:rsid w:val="00AF1267"/>
    <w:rsid w:val="00AF6CA1"/>
    <w:rsid w:val="00B1674A"/>
    <w:rsid w:val="00B17B20"/>
    <w:rsid w:val="00B17CDC"/>
    <w:rsid w:val="00B63AF5"/>
    <w:rsid w:val="00B87082"/>
    <w:rsid w:val="00BA3D57"/>
    <w:rsid w:val="00BB314A"/>
    <w:rsid w:val="00BD14C9"/>
    <w:rsid w:val="00BD44D2"/>
    <w:rsid w:val="00BD77EA"/>
    <w:rsid w:val="00C3204C"/>
    <w:rsid w:val="00C360D7"/>
    <w:rsid w:val="00C437EB"/>
    <w:rsid w:val="00CA400A"/>
    <w:rsid w:val="00CB73CD"/>
    <w:rsid w:val="00CE167D"/>
    <w:rsid w:val="00CE64AA"/>
    <w:rsid w:val="00D241F3"/>
    <w:rsid w:val="00D87C42"/>
    <w:rsid w:val="00E25043"/>
    <w:rsid w:val="00E4115E"/>
    <w:rsid w:val="00E73C16"/>
    <w:rsid w:val="00E91F1F"/>
    <w:rsid w:val="00ED6189"/>
    <w:rsid w:val="00EE4997"/>
    <w:rsid w:val="00F47938"/>
    <w:rsid w:val="00F504CF"/>
    <w:rsid w:val="00F5137D"/>
    <w:rsid w:val="00F91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3</cp:revision>
  <dcterms:created xsi:type="dcterms:W3CDTF">2024-12-17T14:43:00Z</dcterms:created>
  <dcterms:modified xsi:type="dcterms:W3CDTF">2025-01-27T16:43:00Z</dcterms:modified>
</cp:coreProperties>
</file>