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EE2E6" w14:textId="47A635E2" w:rsidR="00424BB9" w:rsidRPr="003263C0" w:rsidRDefault="005A6328" w:rsidP="003263C0">
      <w:pPr>
        <w:pStyle w:val="BodyText"/>
        <w:ind w:left="1843"/>
        <w:jc w:val="both"/>
        <w:rPr>
          <w:noProof/>
          <w:color w:val="0A2F41" w:themeColor="accent1" w:themeShade="80"/>
          <w:sz w:val="19"/>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5AEF79EC">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54BEDC9D" w:rsidR="005A6328" w:rsidRPr="005A6328" w:rsidRDefault="003263C0" w:rsidP="00BB314A">
                            <w:pPr>
                              <w:jc w:val="center"/>
                              <w:rPr>
                                <w:b/>
                                <w:bCs/>
                                <w:sz w:val="36"/>
                                <w:szCs w:val="52"/>
                                <w:lang w:val="en-US"/>
                              </w:rPr>
                            </w:pPr>
                            <w:r>
                              <w:rPr>
                                <w:b/>
                                <w:bCs/>
                                <w:sz w:val="36"/>
                                <w:szCs w:val="52"/>
                                <w:lang w:val="en-US"/>
                              </w:rPr>
                              <w:t>Simmon’s Citrate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54BEDC9D" w:rsidR="005A6328" w:rsidRPr="005A6328" w:rsidRDefault="003263C0" w:rsidP="00BB314A">
                      <w:pPr>
                        <w:jc w:val="center"/>
                        <w:rPr>
                          <w:b/>
                          <w:bCs/>
                          <w:sz w:val="36"/>
                          <w:szCs w:val="52"/>
                          <w:lang w:val="en-US"/>
                        </w:rPr>
                      </w:pPr>
                      <w:r>
                        <w:rPr>
                          <w:b/>
                          <w:bCs/>
                          <w:sz w:val="36"/>
                          <w:szCs w:val="52"/>
                          <w:lang w:val="en-US"/>
                        </w:rPr>
                        <w:t>Simmon’s Citrate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237D399F">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5A40FD1"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3263C0">
        <w:rPr>
          <w:color w:val="00411A"/>
          <w:sz w:val="19"/>
        </w:rPr>
        <w:t>S</w:t>
      </w:r>
      <w:r w:rsidR="003263C0" w:rsidRPr="003263C0">
        <w:rPr>
          <w:noProof/>
          <w:color w:val="0A2F41" w:themeColor="accent1" w:themeShade="80"/>
          <w:sz w:val="19"/>
          <w:lang w:val="en-GB"/>
        </w:rPr>
        <w:t xml:space="preserve">olid medium used for the differentiation between members of </w:t>
      </w:r>
      <w:r w:rsidR="003263C0" w:rsidRPr="003263C0">
        <w:rPr>
          <w:i/>
          <w:noProof/>
          <w:color w:val="0A2F41" w:themeColor="accent1" w:themeShade="80"/>
          <w:sz w:val="19"/>
          <w:lang w:val="en-GB"/>
        </w:rPr>
        <w:t>Enterobacteriaceae</w:t>
      </w:r>
      <w:r w:rsidR="003263C0" w:rsidRPr="003263C0">
        <w:rPr>
          <w:noProof/>
          <w:color w:val="0A2F41" w:themeColor="accent1" w:themeShade="80"/>
          <w:sz w:val="19"/>
          <w:lang w:val="en-GB"/>
        </w:rPr>
        <w:t xml:space="preserve"> family based on the utilization of citrate as the only source of carbon.  </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7269FE19" w:rsidR="0070011D" w:rsidRDefault="0070011D" w:rsidP="003263C0">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LV.1/</w:t>
            </w:r>
            <w:r w:rsidR="003263C0">
              <w:rPr>
                <w:color w:val="071320" w:themeColor="text2" w:themeShade="80"/>
                <w:szCs w:val="16"/>
              </w:rPr>
              <w:t>SC</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2B522771" w:rsidR="0070011D" w:rsidRDefault="0070011D" w:rsidP="003263C0">
            <w:pPr>
              <w:tabs>
                <w:tab w:val="left" w:pos="428"/>
              </w:tabs>
              <w:adjustRightInd w:val="0"/>
              <w:ind w:left="-112" w:right="800"/>
              <w:rPr>
                <w:color w:val="071320" w:themeColor="text2" w:themeShade="80"/>
                <w:szCs w:val="16"/>
              </w:rPr>
            </w:pPr>
            <w:r w:rsidRPr="00C360D7">
              <w:rPr>
                <w:color w:val="071320" w:themeColor="text2" w:themeShade="80"/>
                <w:szCs w:val="16"/>
              </w:rPr>
              <w:t>REF: LV.1/</w:t>
            </w:r>
            <w:r w:rsidR="003263C0">
              <w:rPr>
                <w:color w:val="071320" w:themeColor="text2" w:themeShade="80"/>
                <w:szCs w:val="16"/>
              </w:rPr>
              <w:t>SC</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3263C0">
            <w:pPr>
              <w:tabs>
                <w:tab w:val="left" w:pos="428"/>
              </w:tabs>
              <w:adjustRightInd w:val="0"/>
              <w:ind w:left="-112" w:right="180"/>
              <w:rPr>
                <w:color w:val="071320" w:themeColor="text2" w:themeShade="80"/>
                <w:szCs w:val="16"/>
              </w:rPr>
            </w:pPr>
          </w:p>
        </w:tc>
        <w:tc>
          <w:tcPr>
            <w:tcW w:w="4961" w:type="dxa"/>
          </w:tcPr>
          <w:p w14:paraId="10BDFC6F" w14:textId="7D3D30B0" w:rsidR="0070011D" w:rsidRPr="00C360D7" w:rsidRDefault="0070011D" w:rsidP="003263C0">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LV.1/</w:t>
            </w:r>
            <w:r w:rsidR="003263C0">
              <w:rPr>
                <w:color w:val="071320" w:themeColor="text2" w:themeShade="80"/>
                <w:szCs w:val="16"/>
              </w:rPr>
              <w:t>SC</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3263C0">
            <w:pPr>
              <w:tabs>
                <w:tab w:val="left" w:pos="428"/>
              </w:tabs>
              <w:adjustRightInd w:val="0"/>
              <w:ind w:left="-112" w:right="180"/>
              <w:rPr>
                <w:color w:val="071320" w:themeColor="text2" w:themeShade="80"/>
                <w:szCs w:val="16"/>
              </w:rPr>
            </w:pPr>
          </w:p>
        </w:tc>
      </w:tr>
      <w:bookmarkEnd w:id="0"/>
    </w:tbl>
    <w:p w14:paraId="76568F91" w14:textId="1F0AF196" w:rsidR="00424BB9" w:rsidRDefault="00424BB9" w:rsidP="003263C0">
      <w:pPr>
        <w:spacing w:after="95" w:line="259" w:lineRule="auto"/>
        <w:ind w:right="0"/>
        <w:sectPr w:rsidR="00424BB9" w:rsidSect="0070011D">
          <w:pgSz w:w="12240" w:h="15840"/>
          <w:pgMar w:top="1541" w:right="474" w:bottom="1789" w:left="1298" w:header="720" w:footer="720" w:gutter="0"/>
          <w:cols w:space="720"/>
        </w:sectPr>
      </w:pPr>
    </w:p>
    <w:p w14:paraId="1EE63A06" w14:textId="0BEA73EC" w:rsidR="00424BB9" w:rsidRDefault="00000000" w:rsidP="003263C0">
      <w:pPr>
        <w:pStyle w:val="Heading1"/>
        <w:keepNext w:val="0"/>
        <w:keepLines w:val="0"/>
        <w:widowControl w:val="0"/>
        <w:autoSpaceDE w:val="0"/>
        <w:autoSpaceDN w:val="0"/>
        <w:spacing w:before="94" w:after="0" w:line="240" w:lineRule="auto"/>
        <w:ind w:left="0" w:firstLine="0"/>
        <w:jc w:val="both"/>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SIGNIFICANCE</w:t>
      </w:r>
    </w:p>
    <w:p w14:paraId="50524A82" w14:textId="77777777" w:rsidR="0070011D" w:rsidRPr="0070011D" w:rsidRDefault="0070011D" w:rsidP="003263C0">
      <w:pPr>
        <w:rPr>
          <w:sz w:val="8"/>
          <w:szCs w:val="16"/>
          <w:lang w:val="en-US" w:eastAsia="en-US"/>
        </w:rPr>
      </w:pPr>
    </w:p>
    <w:p w14:paraId="7989ADD9" w14:textId="3FCF5064" w:rsidR="00424BB9" w:rsidRPr="003263C0" w:rsidRDefault="003263C0" w:rsidP="003263C0">
      <w:pPr>
        <w:spacing w:after="0" w:line="259" w:lineRule="auto"/>
        <w:ind w:left="91" w:right="0" w:firstLine="0"/>
        <w:rPr>
          <w:rFonts w:ascii="Arial MT" w:eastAsia="Arial MT" w:hAnsi="Arial MT" w:cs="Arial MT"/>
          <w:color w:val="0A2F41" w:themeColor="accent1" w:themeShade="80"/>
          <w:kern w:val="0"/>
          <w:szCs w:val="16"/>
          <w:lang w:eastAsia="en-US"/>
          <w14:ligatures w14:val="none"/>
        </w:rPr>
      </w:pPr>
      <w:r w:rsidRPr="003263C0">
        <w:rPr>
          <w:rFonts w:ascii="Arial MT" w:eastAsia="Arial MT" w:hAnsi="Arial MT" w:cs="Arial MT"/>
          <w:color w:val="0A2F41" w:themeColor="accent1" w:themeShade="80"/>
          <w:kern w:val="0"/>
          <w:szCs w:val="16"/>
          <w:lang w:eastAsia="en-US"/>
          <w14:ligatures w14:val="none"/>
        </w:rPr>
        <w:t xml:space="preserve">Citrate utilization test is commonly employed as part of a group of tests, the </w:t>
      </w:r>
      <w:proofErr w:type="spellStart"/>
      <w:r w:rsidRPr="003263C0">
        <w:rPr>
          <w:rFonts w:ascii="Arial MT" w:eastAsia="Arial MT" w:hAnsi="Arial MT" w:cs="Arial MT"/>
          <w:color w:val="0A2F41" w:themeColor="accent1" w:themeShade="80"/>
          <w:kern w:val="0"/>
          <w:szCs w:val="16"/>
          <w:lang w:eastAsia="en-US"/>
          <w14:ligatures w14:val="none"/>
        </w:rPr>
        <w:t>IMViC</w:t>
      </w:r>
      <w:proofErr w:type="spellEnd"/>
      <w:r w:rsidRPr="003263C0">
        <w:rPr>
          <w:rFonts w:ascii="Arial MT" w:eastAsia="Arial MT" w:hAnsi="Arial MT" w:cs="Arial MT"/>
          <w:color w:val="0A2F41" w:themeColor="accent1" w:themeShade="80"/>
          <w:kern w:val="0"/>
          <w:szCs w:val="16"/>
          <w:lang w:eastAsia="en-US"/>
          <w14:ligatures w14:val="none"/>
        </w:rPr>
        <w:t xml:space="preserve"> (Indole, Methyl Red, VP and Citrate) tests that distinguish between members of the </w:t>
      </w:r>
      <w:r w:rsidRPr="003263C0">
        <w:rPr>
          <w:rFonts w:ascii="Arial MT" w:eastAsia="Arial MT" w:hAnsi="Arial MT" w:cs="Arial MT"/>
          <w:i/>
          <w:color w:val="0A2F41" w:themeColor="accent1" w:themeShade="80"/>
          <w:kern w:val="0"/>
          <w:szCs w:val="16"/>
          <w:lang w:eastAsia="en-US"/>
          <w14:ligatures w14:val="none"/>
        </w:rPr>
        <w:t>Enterobacteriaceae</w:t>
      </w:r>
      <w:r w:rsidRPr="003263C0">
        <w:rPr>
          <w:rFonts w:ascii="Arial MT" w:eastAsia="Arial MT" w:hAnsi="Arial MT" w:cs="Arial MT"/>
          <w:color w:val="0A2F41" w:themeColor="accent1" w:themeShade="80"/>
          <w:kern w:val="0"/>
          <w:szCs w:val="16"/>
          <w:lang w:eastAsia="en-US"/>
          <w14:ligatures w14:val="none"/>
        </w:rPr>
        <w:t xml:space="preserve"> family based on their metabolic by-products. Citrate utilization can be used to differentiate between coliforms such as </w:t>
      </w:r>
      <w:r w:rsidRPr="003263C0">
        <w:rPr>
          <w:rFonts w:ascii="Arial MT" w:eastAsia="Arial MT" w:hAnsi="Arial MT" w:cs="Arial MT"/>
          <w:i/>
          <w:color w:val="0A2F41" w:themeColor="accent1" w:themeShade="80"/>
          <w:kern w:val="0"/>
          <w:szCs w:val="16"/>
          <w:lang w:eastAsia="en-US"/>
          <w14:ligatures w14:val="none"/>
        </w:rPr>
        <w:t>Klebsiella</w:t>
      </w:r>
      <w:r w:rsidRPr="003263C0">
        <w:rPr>
          <w:rFonts w:ascii="Arial MT" w:eastAsia="Arial MT" w:hAnsi="Arial MT" w:cs="Arial MT"/>
          <w:color w:val="0A2F41" w:themeColor="accent1" w:themeShade="80"/>
          <w:kern w:val="0"/>
          <w:szCs w:val="16"/>
          <w:lang w:eastAsia="en-US"/>
          <w14:ligatures w14:val="none"/>
        </w:rPr>
        <w:t xml:space="preserve"> </w:t>
      </w:r>
      <w:r w:rsidRPr="003263C0">
        <w:rPr>
          <w:rFonts w:ascii="Arial MT" w:eastAsia="Arial MT" w:hAnsi="Arial MT" w:cs="Arial MT"/>
          <w:i/>
          <w:color w:val="0A2F41" w:themeColor="accent1" w:themeShade="80"/>
          <w:kern w:val="0"/>
          <w:szCs w:val="16"/>
          <w:lang w:eastAsia="en-US"/>
          <w14:ligatures w14:val="none"/>
        </w:rPr>
        <w:t>aerogenes</w:t>
      </w:r>
      <w:r w:rsidRPr="003263C0">
        <w:rPr>
          <w:rFonts w:ascii="Arial MT" w:eastAsia="Arial MT" w:hAnsi="Arial MT" w:cs="Arial MT"/>
          <w:color w:val="0A2F41" w:themeColor="accent1" w:themeShade="80"/>
          <w:kern w:val="0"/>
          <w:szCs w:val="16"/>
          <w:lang w:eastAsia="en-US"/>
          <w14:ligatures w14:val="none"/>
        </w:rPr>
        <w:t xml:space="preserve"> (Positive Citrate utilization) which occur naturally in the soil and in aquatic environments from </w:t>
      </w:r>
      <w:proofErr w:type="spellStart"/>
      <w:r w:rsidRPr="003263C0">
        <w:rPr>
          <w:rFonts w:ascii="Arial MT" w:eastAsia="Arial MT" w:hAnsi="Arial MT" w:cs="Arial MT"/>
          <w:color w:val="0A2F41" w:themeColor="accent1" w:themeShade="80"/>
          <w:kern w:val="0"/>
          <w:szCs w:val="16"/>
          <w:lang w:eastAsia="en-US"/>
          <w14:ligatures w14:val="none"/>
        </w:rPr>
        <w:t>fecal</w:t>
      </w:r>
      <w:proofErr w:type="spellEnd"/>
      <w:r w:rsidRPr="003263C0">
        <w:rPr>
          <w:rFonts w:ascii="Arial MT" w:eastAsia="Arial MT" w:hAnsi="Arial MT" w:cs="Arial MT"/>
          <w:color w:val="0A2F41" w:themeColor="accent1" w:themeShade="80"/>
          <w:kern w:val="0"/>
          <w:szCs w:val="16"/>
          <w:lang w:eastAsia="en-US"/>
          <w14:ligatures w14:val="none"/>
        </w:rPr>
        <w:t xml:space="preserve"> coliforms such as </w:t>
      </w:r>
      <w:proofErr w:type="spellStart"/>
      <w:r w:rsidRPr="003263C0">
        <w:rPr>
          <w:rFonts w:ascii="Arial MT" w:eastAsia="Arial MT" w:hAnsi="Arial MT" w:cs="Arial MT"/>
          <w:i/>
          <w:color w:val="0A2F41" w:themeColor="accent1" w:themeShade="80"/>
          <w:kern w:val="0"/>
          <w:szCs w:val="16"/>
          <w:lang w:eastAsia="en-US"/>
          <w14:ligatures w14:val="none"/>
        </w:rPr>
        <w:t>Escherchia</w:t>
      </w:r>
      <w:proofErr w:type="spellEnd"/>
      <w:r w:rsidRPr="003263C0">
        <w:rPr>
          <w:rFonts w:ascii="Arial MT" w:eastAsia="Arial MT" w:hAnsi="Arial MT" w:cs="Arial MT"/>
          <w:i/>
          <w:color w:val="0A2F41" w:themeColor="accent1" w:themeShade="80"/>
          <w:kern w:val="0"/>
          <w:szCs w:val="16"/>
          <w:lang w:eastAsia="en-US"/>
          <w14:ligatures w14:val="none"/>
        </w:rPr>
        <w:t xml:space="preserve"> coli (</w:t>
      </w:r>
      <w:r w:rsidRPr="003263C0">
        <w:rPr>
          <w:rFonts w:ascii="Arial MT" w:eastAsia="Arial MT" w:hAnsi="Arial MT" w:cs="Arial MT"/>
          <w:color w:val="0A2F41" w:themeColor="accent1" w:themeShade="80"/>
          <w:kern w:val="0"/>
          <w:szCs w:val="16"/>
          <w:lang w:eastAsia="en-US"/>
          <w14:ligatures w14:val="none"/>
        </w:rPr>
        <w:t>Negative Citrate utilization</w:t>
      </w:r>
      <w:r w:rsidRPr="003263C0">
        <w:rPr>
          <w:rFonts w:ascii="Arial MT" w:eastAsia="Arial MT" w:hAnsi="Arial MT" w:cs="Arial MT"/>
          <w:i/>
          <w:color w:val="0A2F41" w:themeColor="accent1" w:themeShade="80"/>
          <w:kern w:val="0"/>
          <w:szCs w:val="16"/>
          <w:lang w:eastAsia="en-US"/>
          <w14:ligatures w14:val="none"/>
        </w:rPr>
        <w:t xml:space="preserve">) </w:t>
      </w:r>
      <w:r w:rsidRPr="003263C0">
        <w:rPr>
          <w:rFonts w:ascii="Arial MT" w:eastAsia="Arial MT" w:hAnsi="Arial MT" w:cs="Arial MT"/>
          <w:color w:val="0A2F41" w:themeColor="accent1" w:themeShade="80"/>
          <w:kern w:val="0"/>
          <w:szCs w:val="16"/>
          <w:lang w:eastAsia="en-US"/>
          <w14:ligatures w14:val="none"/>
        </w:rPr>
        <w:t xml:space="preserve">whose presence would indicate </w:t>
      </w:r>
      <w:proofErr w:type="spellStart"/>
      <w:r w:rsidRPr="003263C0">
        <w:rPr>
          <w:rFonts w:ascii="Arial MT" w:eastAsia="Arial MT" w:hAnsi="Arial MT" w:cs="Arial MT"/>
          <w:color w:val="0A2F41" w:themeColor="accent1" w:themeShade="80"/>
          <w:kern w:val="0"/>
          <w:szCs w:val="16"/>
          <w:lang w:eastAsia="en-US"/>
          <w14:ligatures w14:val="none"/>
        </w:rPr>
        <w:t>fecal</w:t>
      </w:r>
      <w:proofErr w:type="spellEnd"/>
      <w:r w:rsidRPr="003263C0">
        <w:rPr>
          <w:rFonts w:ascii="Arial MT" w:eastAsia="Arial MT" w:hAnsi="Arial MT" w:cs="Arial MT"/>
          <w:color w:val="0A2F41" w:themeColor="accent1" w:themeShade="80"/>
          <w:kern w:val="0"/>
          <w:szCs w:val="16"/>
          <w:lang w:eastAsia="en-US"/>
          <w14:ligatures w14:val="none"/>
        </w:rPr>
        <w:t xml:space="preserve"> contamination. </w:t>
      </w:r>
    </w:p>
    <w:p w14:paraId="31DF6754" w14:textId="5D04490B" w:rsidR="00424BB9" w:rsidRPr="008278FA" w:rsidRDefault="00000000" w:rsidP="003263C0">
      <w:pPr>
        <w:pStyle w:val="Heading1"/>
        <w:keepNext w:val="0"/>
        <w:keepLines w:val="0"/>
        <w:widowControl w:val="0"/>
        <w:autoSpaceDE w:val="0"/>
        <w:autoSpaceDN w:val="0"/>
        <w:spacing w:before="94" w:after="0" w:line="240" w:lineRule="auto"/>
        <w:ind w:left="0" w:firstLine="0"/>
        <w:jc w:val="both"/>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42D70B3A" w14:textId="77777777" w:rsidR="003263C0" w:rsidRPr="003263C0" w:rsidRDefault="003263C0" w:rsidP="003263C0">
      <w:pPr>
        <w:pStyle w:val="Heading1"/>
        <w:spacing w:after="0"/>
        <w:ind w:left="86"/>
        <w:jc w:val="both"/>
        <w:rPr>
          <w:rFonts w:ascii="Arial MT" w:eastAsia="Arial MT" w:hAnsi="Arial MT" w:cs="Arial MT"/>
          <w:b w:val="0"/>
          <w:color w:val="0A2F41" w:themeColor="accent1" w:themeShade="80"/>
          <w:kern w:val="0"/>
          <w:sz w:val="16"/>
          <w:szCs w:val="16"/>
          <w:lang w:eastAsia="en-US"/>
          <w14:ligatures w14:val="none"/>
        </w:rPr>
      </w:pPr>
      <w:r w:rsidRPr="003263C0">
        <w:rPr>
          <w:rFonts w:ascii="Arial MT" w:eastAsia="Arial MT" w:hAnsi="Arial MT" w:cs="Arial MT"/>
          <w:b w:val="0"/>
          <w:color w:val="0A2F41" w:themeColor="accent1" w:themeShade="80"/>
          <w:kern w:val="0"/>
          <w:sz w:val="16"/>
          <w:szCs w:val="16"/>
          <w:lang w:eastAsia="en-US"/>
          <w14:ligatures w14:val="none"/>
        </w:rPr>
        <w:t xml:space="preserve">Ammonium Dihydrogen Phosphate is the sole source of nitrogen. Dipotassium Phosphate acts as a buffer. Sodium Chloride maintains the osmotic balance of the medium. Sodium Citrate is the sole source of carbon in this medium. Magnesium Sulfate is a cofactor for a variety of metabolic reactions. Agar is the solidifying agent. Organisms capable of utilizing ammonium dihydrogen phosphate and citrate will grow unrestricted on this medium. If citrate can be used, the microbe will accumulate alkaline/basic byproducts. When the bacteria metabolize citrate, the ammonium salts are broken down to ammonia, which increases alkalinity. The shift in pH turns the </w:t>
      </w:r>
      <w:proofErr w:type="spellStart"/>
      <w:r w:rsidRPr="003263C0">
        <w:rPr>
          <w:rFonts w:ascii="Arial MT" w:eastAsia="Arial MT" w:hAnsi="Arial MT" w:cs="Arial MT"/>
          <w:b w:val="0"/>
          <w:color w:val="0A2F41" w:themeColor="accent1" w:themeShade="80"/>
          <w:kern w:val="0"/>
          <w:sz w:val="16"/>
          <w:szCs w:val="16"/>
          <w:lang w:eastAsia="en-US"/>
          <w14:ligatures w14:val="none"/>
        </w:rPr>
        <w:t>bromthymol</w:t>
      </w:r>
      <w:proofErr w:type="spellEnd"/>
      <w:r w:rsidRPr="003263C0">
        <w:rPr>
          <w:rFonts w:ascii="Arial MT" w:eastAsia="Arial MT" w:hAnsi="Arial MT" w:cs="Arial MT"/>
          <w:b w:val="0"/>
          <w:color w:val="0A2F41" w:themeColor="accent1" w:themeShade="80"/>
          <w:kern w:val="0"/>
          <w:sz w:val="16"/>
          <w:szCs w:val="16"/>
          <w:lang w:eastAsia="en-US"/>
          <w14:ligatures w14:val="none"/>
        </w:rPr>
        <w:t xml:space="preserve"> blue indicator in the medium from green to blue above pH 7.6. </w:t>
      </w:r>
    </w:p>
    <w:p w14:paraId="0942943C" w14:textId="3517E5F9" w:rsidR="00424BB9" w:rsidRDefault="00000000" w:rsidP="003263C0">
      <w:pPr>
        <w:pStyle w:val="Heading1"/>
        <w:spacing w:after="0"/>
        <w:ind w:left="86"/>
        <w:jc w:val="both"/>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4329" w:type="dxa"/>
        <w:tblInd w:w="91" w:type="dxa"/>
        <w:tblCellMar>
          <w:top w:w="6" w:type="dxa"/>
          <w:left w:w="106" w:type="dxa"/>
          <w:right w:w="115" w:type="dxa"/>
        </w:tblCellMar>
        <w:tblLook w:val="04A0" w:firstRow="1" w:lastRow="0" w:firstColumn="1" w:lastColumn="0" w:noHBand="0" w:noVBand="1"/>
      </w:tblPr>
      <w:tblGrid>
        <w:gridCol w:w="3023"/>
        <w:gridCol w:w="1306"/>
      </w:tblGrid>
      <w:tr w:rsidR="00424BB9" w14:paraId="35EFC58D" w14:textId="77777777" w:rsidTr="003263C0">
        <w:trPr>
          <w:trHeight w:val="145"/>
        </w:trPr>
        <w:tc>
          <w:tcPr>
            <w:tcW w:w="3023" w:type="dxa"/>
            <w:tcBorders>
              <w:top w:val="single" w:sz="4" w:space="0" w:color="BFBFBF"/>
              <w:left w:val="single" w:sz="4" w:space="0" w:color="BFBFBF"/>
              <w:bottom w:val="single" w:sz="4" w:space="0" w:color="BFBFBF"/>
              <w:right w:val="single" w:sz="4" w:space="0" w:color="BFBFBF"/>
            </w:tcBorders>
          </w:tcPr>
          <w:p w14:paraId="5A3D6DEE" w14:textId="77777777" w:rsidR="00424BB9" w:rsidRPr="008278FA" w:rsidRDefault="00000000" w:rsidP="003263C0">
            <w:pPr>
              <w:spacing w:after="0" w:line="259" w:lineRule="auto"/>
              <w:ind w:left="0" w:right="0" w:firstLine="0"/>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306" w:type="dxa"/>
            <w:tcBorders>
              <w:top w:val="single" w:sz="4" w:space="0" w:color="BFBFBF"/>
              <w:left w:val="single" w:sz="4" w:space="0" w:color="BFBFBF"/>
              <w:bottom w:val="single" w:sz="4" w:space="0" w:color="BFBFBF"/>
              <w:right w:val="single" w:sz="4" w:space="0" w:color="BFBFBF"/>
            </w:tcBorders>
          </w:tcPr>
          <w:p w14:paraId="01AF1CC8" w14:textId="77777777" w:rsidR="00424BB9" w:rsidRPr="008278FA" w:rsidRDefault="00000000" w:rsidP="003263C0">
            <w:pPr>
              <w:spacing w:after="0" w:line="259" w:lineRule="auto"/>
              <w:ind w:left="2" w:right="0" w:firstLine="0"/>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263C0">
        <w:trPr>
          <w:trHeight w:val="1417"/>
        </w:trPr>
        <w:tc>
          <w:tcPr>
            <w:tcW w:w="3023" w:type="dxa"/>
            <w:tcBorders>
              <w:top w:val="single" w:sz="4" w:space="0" w:color="BFBFBF"/>
              <w:left w:val="single" w:sz="4" w:space="0" w:color="BFBFBF"/>
              <w:bottom w:val="single" w:sz="4" w:space="0" w:color="BFBFBF"/>
              <w:right w:val="single" w:sz="4" w:space="0" w:color="BFBFBF"/>
            </w:tcBorders>
          </w:tcPr>
          <w:p w14:paraId="331BB8E3" w14:textId="587BD281" w:rsidR="002842D5"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Magnesium sulphate</w:t>
            </w:r>
          </w:p>
          <w:p w14:paraId="50558763" w14:textId="132530FF"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Ammonium dihydrogen phosphate</w:t>
            </w:r>
          </w:p>
          <w:p w14:paraId="27F23D44" w14:textId="6536FD82"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Dipotassium phosphate </w:t>
            </w:r>
          </w:p>
          <w:p w14:paraId="1BA04774" w14:textId="305609E8"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citrate</w:t>
            </w:r>
          </w:p>
          <w:p w14:paraId="38BF7391" w14:textId="6DCDB0EA"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7EF36CC6" w14:textId="34E52838"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Bromothymol blue</w:t>
            </w:r>
          </w:p>
          <w:p w14:paraId="2274BBC9" w14:textId="11B71798" w:rsidR="002842D5" w:rsidRPr="008278FA" w:rsidRDefault="002842D5"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Agar </w:t>
            </w:r>
          </w:p>
        </w:tc>
        <w:tc>
          <w:tcPr>
            <w:tcW w:w="1306" w:type="dxa"/>
            <w:tcBorders>
              <w:top w:val="single" w:sz="4" w:space="0" w:color="BFBFBF"/>
              <w:left w:val="single" w:sz="4" w:space="0" w:color="BFBFBF"/>
              <w:bottom w:val="single" w:sz="4" w:space="0" w:color="BFBFBF"/>
              <w:right w:val="single" w:sz="4" w:space="0" w:color="BFBFBF"/>
            </w:tcBorders>
            <w:vAlign w:val="center"/>
          </w:tcPr>
          <w:p w14:paraId="74AEE554" w14:textId="3C0034E8"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0.2</w:t>
            </w:r>
          </w:p>
          <w:p w14:paraId="1D053DED" w14:textId="6D256837"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w:t>
            </w:r>
          </w:p>
          <w:p w14:paraId="7D351823" w14:textId="78EBEB26"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w:t>
            </w:r>
          </w:p>
          <w:p w14:paraId="2B90B95F" w14:textId="6A242A01"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w:t>
            </w:r>
          </w:p>
          <w:p w14:paraId="41B51731" w14:textId="5B479A20"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7FB581F5" w14:textId="03E2FFF0" w:rsidR="003263C0" w:rsidRDefault="003263C0"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0.08</w:t>
            </w:r>
          </w:p>
          <w:p w14:paraId="64D629EE" w14:textId="715F6B93" w:rsidR="00446087" w:rsidRPr="008278FA" w:rsidRDefault="00446087"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57B26CE2" w14:textId="52E94C80" w:rsidR="00424BB9" w:rsidRPr="003263C0" w:rsidRDefault="00000000" w:rsidP="003263C0">
      <w:pPr>
        <w:pStyle w:val="Heading2"/>
        <w:jc w:val="both"/>
        <w:rPr>
          <w:rFonts w:ascii="Arial MT" w:eastAsia="Arial MT" w:hAnsi="Arial MT" w:cs="Arial MT"/>
          <w:bCs/>
          <w:iCs/>
          <w:color w:val="0A2F41" w:themeColor="accent1" w:themeShade="80"/>
          <w:kern w:val="0"/>
          <w:sz w:val="18"/>
          <w:szCs w:val="18"/>
          <w:lang w:val="en-US" w:eastAsia="en-US"/>
          <w14:ligatures w14:val="none"/>
        </w:rPr>
      </w:pPr>
      <w:r w:rsidRPr="003263C0">
        <w:rPr>
          <w:rFonts w:ascii="Arial MT" w:eastAsia="Arial MT" w:hAnsi="Arial MT" w:cs="Arial MT"/>
          <w:bCs/>
          <w:iCs/>
          <w:color w:val="0A2F41" w:themeColor="accent1" w:themeShade="80"/>
          <w:kern w:val="0"/>
          <w:sz w:val="18"/>
          <w:szCs w:val="18"/>
          <w:lang w:val="en-US" w:eastAsia="en-US"/>
          <w14:ligatures w14:val="none"/>
        </w:rPr>
        <w:t xml:space="preserve">pH </w:t>
      </w:r>
      <w:r w:rsidR="003263C0">
        <w:rPr>
          <w:rFonts w:ascii="Arial MT" w:eastAsia="Arial MT" w:hAnsi="Arial MT" w:cs="Arial MT"/>
          <w:bCs/>
          <w:iCs/>
          <w:color w:val="0A2F41" w:themeColor="accent1" w:themeShade="80"/>
          <w:kern w:val="0"/>
          <w:sz w:val="18"/>
          <w:szCs w:val="18"/>
          <w:lang w:val="en-US" w:eastAsia="en-US"/>
          <w14:ligatures w14:val="none"/>
        </w:rPr>
        <w:t>6.8</w:t>
      </w:r>
      <w:r w:rsidRPr="003263C0">
        <w:rPr>
          <w:rFonts w:ascii="Arial MT" w:eastAsia="Arial MT" w:hAnsi="Arial MT" w:cs="Arial MT"/>
          <w:bCs/>
          <w:iCs/>
          <w:color w:val="0A2F41" w:themeColor="accent1" w:themeShade="80"/>
          <w:kern w:val="0"/>
          <w:sz w:val="18"/>
          <w:szCs w:val="18"/>
          <w:lang w:val="en-US" w:eastAsia="en-US"/>
          <w14:ligatures w14:val="none"/>
        </w:rPr>
        <w:t xml:space="preserve"> ± 0.2 at 25°C </w:t>
      </w:r>
    </w:p>
    <w:p w14:paraId="1886B820" w14:textId="77777777" w:rsidR="00424BB9" w:rsidRDefault="00000000" w:rsidP="003263C0">
      <w:pPr>
        <w:pStyle w:val="Heading1"/>
        <w:keepNext w:val="0"/>
        <w:keepLines w:val="0"/>
        <w:widowControl w:val="0"/>
        <w:autoSpaceDE w:val="0"/>
        <w:autoSpaceDN w:val="0"/>
        <w:spacing w:before="94" w:after="0" w:line="240" w:lineRule="auto"/>
        <w:ind w:left="0" w:firstLine="0"/>
        <w:jc w:val="both"/>
      </w:pPr>
      <w:r w:rsidRPr="009A49DC">
        <w:rPr>
          <w:bCs/>
          <w:color w:val="0A2F41" w:themeColor="accent1" w:themeShade="80"/>
          <w:kern w:val="0"/>
          <w:szCs w:val="18"/>
          <w:lang w:val="en-US" w:eastAsia="en-US"/>
          <w14:ligatures w14:val="none"/>
        </w:rPr>
        <w:t xml:space="preserve">PRECAUTIONS AND WARNINGS (2) </w:t>
      </w:r>
    </w:p>
    <w:p w14:paraId="03527274" w14:textId="77777777" w:rsidR="00424BB9" w:rsidRPr="009A49DC" w:rsidRDefault="00000000" w:rsidP="003263C0">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000000" w:rsidP="003263C0">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000000" w:rsidP="003263C0">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000000" w:rsidP="003263C0">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000000" w:rsidP="003263C0">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000000" w:rsidP="003263C0">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000000" w:rsidP="003263C0">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000000" w:rsidP="003263C0">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000000" w:rsidP="003263C0">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13D1B164" w14:textId="1A5EC865" w:rsidR="00424BB9" w:rsidRPr="009A49DC" w:rsidRDefault="00000000" w:rsidP="003263C0">
      <w:pPr>
        <w:ind w:left="165"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3263C0">
        <w:rPr>
          <w:rFonts w:ascii="Arial MT" w:eastAsia="Arial MT" w:hAnsi="Arial MT" w:cs="Arial MT"/>
          <w:color w:val="0A2F41" w:themeColor="accent1" w:themeShade="80"/>
          <w:kern w:val="0"/>
          <w:szCs w:val="16"/>
          <w:lang w:val="en-US" w:eastAsia="en-US"/>
          <w14:ligatures w14:val="none"/>
        </w:rPr>
        <w:t>Simmon’s citrate</w:t>
      </w:r>
      <w:r w:rsidR="002842D5">
        <w:rPr>
          <w:rFonts w:ascii="Arial MT" w:eastAsia="Arial MT" w:hAnsi="Arial MT" w:cs="Arial MT"/>
          <w:color w:val="0A2F41" w:themeColor="accent1" w:themeShade="80"/>
          <w:kern w:val="0"/>
          <w:szCs w:val="16"/>
          <w:lang w:val="en-US" w:eastAsia="en-US"/>
          <w14:ligatures w14:val="none"/>
        </w:rPr>
        <w:t xml:space="preserve"> Agar</w:t>
      </w:r>
      <w:r w:rsidRPr="009A49DC">
        <w:rPr>
          <w:rFonts w:ascii="Arial MT" w:eastAsia="Arial MT" w:hAnsi="Arial MT" w:cs="Arial MT"/>
          <w:color w:val="0A2F41" w:themeColor="accent1" w:themeShade="80"/>
          <w:kern w:val="0"/>
          <w:szCs w:val="16"/>
          <w:lang w:val="en-US" w:eastAsia="en-US"/>
          <w14:ligatures w14:val="none"/>
        </w:rPr>
        <w:t xml:space="preserve">  </w:t>
      </w:r>
    </w:p>
    <w:p w14:paraId="7ECD1945" w14:textId="7CE0FF10" w:rsidR="00424BB9" w:rsidRPr="0044579F" w:rsidRDefault="00000000" w:rsidP="003263C0">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material safety data sheet. </w:t>
      </w:r>
    </w:p>
    <w:p w14:paraId="6DBFE09F" w14:textId="3D65387D" w:rsidR="00BA3D57" w:rsidRPr="00BA3D57" w:rsidRDefault="00000000" w:rsidP="003263C0">
      <w:pPr>
        <w:pStyle w:val="Heading1"/>
        <w:spacing w:after="172"/>
        <w:ind w:left="10"/>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PREPARATION, STORAGE AND STABILITY</w:t>
      </w:r>
    </w:p>
    <w:p w14:paraId="5453A3B0" w14:textId="1D6EFC3B" w:rsidR="005D2B78" w:rsidRPr="005D2B78" w:rsidRDefault="005D2B78" w:rsidP="003263C0">
      <w:pPr>
        <w:spacing w:after="100" w:line="247" w:lineRule="auto"/>
        <w:ind w:left="12" w:right="69"/>
        <w:rPr>
          <w:rFonts w:ascii="Arial MT" w:eastAsia="Arial MT" w:hAnsi="Arial MT" w:cs="Arial MT"/>
          <w:color w:val="0A2F41" w:themeColor="accent1" w:themeShade="80"/>
          <w:kern w:val="0"/>
          <w:szCs w:val="16"/>
          <w:lang w:val="en-US" w:eastAsia="en-US"/>
          <w14:ligatures w14:val="none"/>
        </w:rPr>
      </w:pPr>
      <w:proofErr w:type="spellStart"/>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proofErr w:type="spellEnd"/>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3263C0">
        <w:rPr>
          <w:rFonts w:ascii="Arial MT" w:eastAsia="Arial MT" w:hAnsi="Arial MT" w:cs="Arial MT"/>
          <w:color w:val="0A2F41" w:themeColor="accent1" w:themeShade="80"/>
          <w:kern w:val="0"/>
          <w:szCs w:val="16"/>
          <w:lang w:val="en-US" w:eastAsia="en-US"/>
          <w14:ligatures w14:val="none"/>
        </w:rPr>
        <w:t xml:space="preserve">Simmon’s citrate </w:t>
      </w:r>
      <w:proofErr w:type="gramStart"/>
      <w:r w:rsidR="003263C0">
        <w:rPr>
          <w:rFonts w:ascii="Arial MT" w:eastAsia="Arial MT" w:hAnsi="Arial MT" w:cs="Arial MT"/>
          <w:color w:val="0A2F41" w:themeColor="accent1" w:themeShade="80"/>
          <w:kern w:val="0"/>
          <w:szCs w:val="16"/>
          <w:lang w:val="en-US" w:eastAsia="en-US"/>
          <w14:ligatures w14:val="none"/>
        </w:rPr>
        <w:t>Agar</w:t>
      </w:r>
      <w:r w:rsidR="003263C0" w:rsidRPr="009A49DC">
        <w:rPr>
          <w:rFonts w:ascii="Arial MT" w:eastAsia="Arial MT" w:hAnsi="Arial MT" w:cs="Arial MT"/>
          <w:color w:val="0A2F41" w:themeColor="accent1" w:themeShade="80"/>
          <w:kern w:val="0"/>
          <w:szCs w:val="16"/>
          <w:lang w:val="en-US" w:eastAsia="en-US"/>
          <w14:ligatures w14:val="none"/>
        </w:rPr>
        <w:t xml:space="preserve">  </w:t>
      </w:r>
      <w:r w:rsidRPr="005D2B78">
        <w:rPr>
          <w:rFonts w:ascii="Arial MT" w:eastAsia="Arial MT" w:hAnsi="Arial MT" w:cs="Arial MT"/>
          <w:color w:val="0A2F41" w:themeColor="accent1" w:themeShade="80"/>
          <w:kern w:val="0"/>
          <w:szCs w:val="16"/>
          <w:lang w:val="en-US" w:eastAsia="en-US"/>
          <w14:ligatures w14:val="none"/>
        </w:rPr>
        <w:t>should</w:t>
      </w:r>
      <w:proofErr w:type="gramEnd"/>
      <w:r w:rsidRPr="005D2B78">
        <w:rPr>
          <w:rFonts w:ascii="Arial MT" w:eastAsia="Arial MT" w:hAnsi="Arial MT" w:cs="Arial MT"/>
          <w:color w:val="0A2F41" w:themeColor="accent1" w:themeShade="80"/>
          <w:kern w:val="0"/>
          <w:szCs w:val="16"/>
          <w:lang w:val="en-US" w:eastAsia="en-US"/>
          <w14:ligatures w14:val="none"/>
        </w:rPr>
        <w:t xml:space="preserve">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77777777" w:rsidR="00BA3D57" w:rsidRPr="00BA3D57" w:rsidRDefault="00000000" w:rsidP="003263C0">
      <w:pPr>
        <w:pStyle w:val="Heading2"/>
        <w:ind w:left="-5"/>
        <w:jc w:val="both"/>
        <w:rPr>
          <w:bCs/>
          <w:sz w:val="10"/>
        </w:rPr>
      </w:pPr>
      <w:r>
        <w:rPr>
          <w:sz w:val="10"/>
        </w:rPr>
        <w:t xml:space="preserve"> </w:t>
      </w:r>
      <w:r w:rsidR="00BA3D57" w:rsidRPr="00BA3D57">
        <w:rPr>
          <w:bCs/>
          <w:i w:val="0"/>
          <w:color w:val="0A2F41" w:themeColor="accent1" w:themeShade="80"/>
          <w:kern w:val="0"/>
          <w:sz w:val="18"/>
          <w:szCs w:val="18"/>
          <w:lang w:val="en-US" w:eastAsia="en-US"/>
          <w14:ligatures w14:val="none"/>
        </w:rPr>
        <w:t>PROCEDURE</w:t>
      </w:r>
      <w:r w:rsidR="00BA3D57" w:rsidRPr="00BA3D57">
        <w:rPr>
          <w:bCs/>
          <w:sz w:val="10"/>
        </w:rPr>
        <w:t xml:space="preserve"> </w:t>
      </w:r>
    </w:p>
    <w:p w14:paraId="42AB1E77" w14:textId="07E38642" w:rsidR="003263C0" w:rsidRDefault="003263C0" w:rsidP="003263C0">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 xml:space="preserve">Suspend 24.28 grams in </w:t>
      </w:r>
      <w:proofErr w:type="gramStart"/>
      <w:r w:rsidRPr="003263C0">
        <w:rPr>
          <w:rFonts w:ascii="Arial MT" w:eastAsia="Arial MT" w:hAnsi="Arial MT" w:cs="Arial MT"/>
          <w:color w:val="0A2F41" w:themeColor="accent1" w:themeShade="80"/>
          <w:kern w:val="0"/>
          <w:szCs w:val="16"/>
          <w:lang w:val="en-US" w:eastAsia="en-US"/>
          <w14:ligatures w14:val="none"/>
        </w:rPr>
        <w:t>1 liter</w:t>
      </w:r>
      <w:proofErr w:type="gramEnd"/>
      <w:r w:rsidRPr="003263C0">
        <w:rPr>
          <w:rFonts w:ascii="Arial MT" w:eastAsia="Arial MT" w:hAnsi="Arial MT" w:cs="Arial MT"/>
          <w:color w:val="0A2F41" w:themeColor="accent1" w:themeShade="80"/>
          <w:kern w:val="0"/>
          <w:szCs w:val="16"/>
          <w:lang w:val="en-US" w:eastAsia="en-US"/>
          <w14:ligatures w14:val="none"/>
        </w:rPr>
        <w:t xml:space="preserve"> distilled water. </w:t>
      </w:r>
    </w:p>
    <w:p w14:paraId="0C7B1DA5" w14:textId="1772518C" w:rsidR="00BA3D57" w:rsidRPr="00BA3D57" w:rsidRDefault="00BA3D57" w:rsidP="003263C0">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 xml:space="preserve">Adjust pH to pH </w:t>
      </w:r>
      <w:r w:rsidR="003263C0">
        <w:rPr>
          <w:rFonts w:ascii="Arial MT" w:eastAsia="Arial MT" w:hAnsi="Arial MT" w:cs="Arial MT"/>
          <w:color w:val="0A2F41" w:themeColor="accent1" w:themeShade="80"/>
          <w:kern w:val="0"/>
          <w:szCs w:val="16"/>
          <w:lang w:val="en-US" w:eastAsia="en-US"/>
          <w14:ligatures w14:val="none"/>
        </w:rPr>
        <w:t>6.8</w:t>
      </w:r>
      <w:r w:rsidRPr="00BA3D57">
        <w:rPr>
          <w:rFonts w:ascii="Arial MT" w:eastAsia="Arial MT" w:hAnsi="Arial MT" w:cs="Arial MT"/>
          <w:color w:val="0A2F41" w:themeColor="accent1" w:themeShade="80"/>
          <w:kern w:val="0"/>
          <w:szCs w:val="16"/>
          <w:lang w:val="en-US" w:eastAsia="en-US"/>
          <w14:ligatures w14:val="none"/>
        </w:rPr>
        <w:t xml:space="preserve"> ± 0.2 at 25°C. </w:t>
      </w:r>
    </w:p>
    <w:p w14:paraId="67E99D88" w14:textId="27D91594" w:rsidR="003263C0" w:rsidRDefault="003263C0" w:rsidP="003263C0">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 xml:space="preserve">Heat, to boiling, to dissolve the medium completely </w:t>
      </w:r>
    </w:p>
    <w:p w14:paraId="6F5FF6EC" w14:textId="77777777" w:rsidR="003263C0" w:rsidRDefault="003263C0" w:rsidP="003263C0">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 xml:space="preserve">. Mix well and distribute in appropriate containers. </w:t>
      </w:r>
    </w:p>
    <w:p w14:paraId="4F85E6DD" w14:textId="462AB49E" w:rsidR="00424BB9" w:rsidRPr="003263C0" w:rsidRDefault="003263C0" w:rsidP="003263C0">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 xml:space="preserve">Sterilize by autoclaving at 15 </w:t>
      </w:r>
      <w:proofErr w:type="spellStart"/>
      <w:r w:rsidRPr="003263C0">
        <w:rPr>
          <w:rFonts w:ascii="Arial MT" w:eastAsia="Arial MT" w:hAnsi="Arial MT" w:cs="Arial MT"/>
          <w:color w:val="0A2F41" w:themeColor="accent1" w:themeShade="80"/>
          <w:kern w:val="0"/>
          <w:szCs w:val="16"/>
          <w:lang w:val="en-US" w:eastAsia="en-US"/>
          <w14:ligatures w14:val="none"/>
        </w:rPr>
        <w:t>lbs</w:t>
      </w:r>
      <w:proofErr w:type="spellEnd"/>
      <w:r w:rsidRPr="003263C0">
        <w:rPr>
          <w:rFonts w:ascii="Arial MT" w:eastAsia="Arial MT" w:hAnsi="Arial MT" w:cs="Arial MT"/>
          <w:color w:val="0A2F41" w:themeColor="accent1" w:themeShade="80"/>
          <w:kern w:val="0"/>
          <w:szCs w:val="16"/>
          <w:lang w:val="en-US" w:eastAsia="en-US"/>
          <w14:ligatures w14:val="none"/>
        </w:rPr>
        <w:t xml:space="preserve"> pressure (121°C) for 15 minutes. </w:t>
      </w:r>
    </w:p>
    <w:p w14:paraId="5EF68A78" w14:textId="77777777" w:rsidR="00424BB9" w:rsidRPr="00890069" w:rsidRDefault="00000000" w:rsidP="003263C0">
      <w:pPr>
        <w:pStyle w:val="Heading2"/>
        <w:ind w:left="-5"/>
        <w:jc w:val="both"/>
        <w:rPr>
          <w:bCs/>
          <w:i w:val="0"/>
          <w:color w:val="0A2F41" w:themeColor="accent1" w:themeShade="80"/>
          <w:kern w:val="0"/>
          <w:sz w:val="18"/>
          <w:szCs w:val="18"/>
          <w:lang w:val="en-US" w:eastAsia="en-US"/>
          <w14:ligatures w14:val="none"/>
        </w:rPr>
      </w:pPr>
      <w:r w:rsidRPr="00890069">
        <w:rPr>
          <w:bCs/>
          <w:i w:val="0"/>
          <w:color w:val="0A2F41" w:themeColor="accent1" w:themeShade="80"/>
          <w:kern w:val="0"/>
          <w:sz w:val="18"/>
          <w:szCs w:val="18"/>
          <w:lang w:val="en-US" w:eastAsia="en-US"/>
          <w14:ligatures w14:val="none"/>
        </w:rPr>
        <w:t xml:space="preserve">Deterioration </w:t>
      </w:r>
    </w:p>
    <w:p w14:paraId="2DCE02BF" w14:textId="77777777" w:rsidR="003263C0" w:rsidRPr="003263C0" w:rsidRDefault="005D2B78" w:rsidP="003263C0">
      <w:pPr>
        <w:spacing w:line="239" w:lineRule="auto"/>
        <w:ind w:left="-3" w:right="131"/>
        <w:rPr>
          <w:color w:val="0A2F41" w:themeColor="accent1" w:themeShade="80"/>
        </w:rPr>
      </w:pPr>
      <w:proofErr w:type="spellStart"/>
      <w:r w:rsidRPr="005D2B78">
        <w:rPr>
          <w:rFonts w:asciiTheme="minorBidi" w:hAnsiTheme="minorBidi" w:cstheme="minorBidi"/>
          <w:b/>
          <w:bCs/>
        </w:rPr>
        <w:t>Lab.</w:t>
      </w:r>
      <w:r w:rsidRPr="005D2B78">
        <w:rPr>
          <w:rFonts w:asciiTheme="minorBidi" w:hAnsiTheme="minorBidi" w:cstheme="minorBidi"/>
          <w:b/>
          <w:bCs/>
          <w:color w:val="9BBB59"/>
        </w:rPr>
        <w:t>Vie</w:t>
      </w:r>
      <w:proofErr w:type="spellEnd"/>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3263C0">
        <w:rPr>
          <w:color w:val="0A2F41" w:themeColor="accent1" w:themeShade="80"/>
        </w:rPr>
        <w:t>Simmon’s Citrate Agar</w:t>
      </w:r>
      <w:r w:rsidR="009E740A" w:rsidRPr="009E740A">
        <w:rPr>
          <w:color w:val="0A2F41" w:themeColor="accent1" w:themeShade="80"/>
        </w:rPr>
        <w:t xml:space="preserve"> is cream to yellow </w:t>
      </w:r>
      <w:r w:rsidR="003263C0" w:rsidRPr="003263C0">
        <w:rPr>
          <w:color w:val="0A2F41" w:themeColor="accent1" w:themeShade="80"/>
        </w:rPr>
        <w:t xml:space="preserve">cream to yellow homogeneous free flowing powder. Prepared Media is forest green in </w:t>
      </w:r>
      <w:proofErr w:type="spellStart"/>
      <w:r w:rsidR="003263C0" w:rsidRPr="003263C0">
        <w:rPr>
          <w:color w:val="0A2F41" w:themeColor="accent1" w:themeShade="80"/>
        </w:rPr>
        <w:t>color</w:t>
      </w:r>
      <w:proofErr w:type="spellEnd"/>
      <w:r w:rsidR="003263C0" w:rsidRPr="003263C0">
        <w:rPr>
          <w:color w:val="0A2F41" w:themeColor="accent1" w:themeShade="80"/>
        </w:rPr>
        <w:t xml:space="preserve">. If there are any physical changes for powder or signs of deterioration (shrinking, cracking, or discoloration), and contaminations for hydrated media, discard the medium. </w:t>
      </w:r>
    </w:p>
    <w:p w14:paraId="31A75041" w14:textId="77777777" w:rsidR="003263C0" w:rsidRDefault="003263C0" w:rsidP="003263C0">
      <w:pPr>
        <w:spacing w:line="239" w:lineRule="auto"/>
        <w:ind w:left="-3" w:right="131"/>
        <w:rPr>
          <w:bCs/>
          <w:color w:val="0A2F41" w:themeColor="accent1" w:themeShade="80"/>
          <w:kern w:val="0"/>
          <w:szCs w:val="18"/>
          <w:lang w:eastAsia="en-US"/>
          <w14:ligatures w14:val="none"/>
        </w:rPr>
      </w:pPr>
    </w:p>
    <w:p w14:paraId="661D44E0" w14:textId="4DA7990C" w:rsidR="0044579F" w:rsidRPr="003263C0" w:rsidRDefault="0044579F" w:rsidP="003263C0">
      <w:pPr>
        <w:spacing w:line="239" w:lineRule="auto"/>
        <w:ind w:left="-3"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0BE82E0E" w14:textId="77777777" w:rsidR="0044579F" w:rsidRPr="00BA3D57" w:rsidRDefault="0044579F" w:rsidP="003263C0">
      <w:pPr>
        <w:pStyle w:val="Heading1"/>
        <w:ind w:left="10"/>
        <w:jc w:val="both"/>
        <w:rPr>
          <w:b w:val="0"/>
          <w:color w:val="0A2F41" w:themeColor="accent1" w:themeShade="80"/>
          <w:kern w:val="0"/>
          <w:szCs w:val="18"/>
          <w:lang w:val="en-US"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653B790B" w14:textId="77777777" w:rsidR="0044579F" w:rsidRPr="00BA3D57" w:rsidRDefault="0044579F" w:rsidP="003263C0">
      <w:pPr>
        <w:pStyle w:val="Heading1"/>
        <w:spacing w:after="33"/>
        <w:ind w:left="86"/>
        <w:jc w:val="both"/>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7180B874" w14:textId="77777777" w:rsidR="003263C0" w:rsidRPr="003263C0" w:rsidRDefault="003263C0" w:rsidP="003263C0">
      <w:pPr>
        <w:pStyle w:val="Heading1"/>
        <w:spacing w:after="33"/>
        <w:ind w:left="86"/>
        <w:rPr>
          <w:bCs/>
          <w:color w:val="0A2F41" w:themeColor="accent1" w:themeShade="80"/>
          <w:kern w:val="0"/>
          <w:szCs w:val="18"/>
          <w:lang w:eastAsia="en-US"/>
          <w14:ligatures w14:val="none"/>
        </w:rPr>
      </w:pPr>
      <w:r w:rsidRPr="003263C0">
        <w:rPr>
          <w:bCs/>
          <w:color w:val="0A2F41" w:themeColor="accent1" w:themeShade="80"/>
          <w:kern w:val="0"/>
          <w:szCs w:val="18"/>
          <w:lang w:eastAsia="en-US"/>
          <w14:ligatures w14:val="none"/>
        </w:rPr>
        <w:t xml:space="preserve">Isolated microorganisms from clinical and non-clinical samples (food and water samples) </w:t>
      </w:r>
    </w:p>
    <w:p w14:paraId="082B7EAA" w14:textId="77777777" w:rsidR="0044579F" w:rsidRPr="00BA3D57" w:rsidRDefault="0044579F" w:rsidP="003263C0">
      <w:pPr>
        <w:pStyle w:val="Heading1"/>
        <w:spacing w:after="33"/>
        <w:ind w:left="86"/>
        <w:jc w:val="both"/>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07A6FE67" w14:textId="77777777" w:rsidR="0044579F" w:rsidRPr="00BA3D57" w:rsidRDefault="0044579F" w:rsidP="003263C0">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2C7A6333" w14:textId="77777777" w:rsidR="0044579F" w:rsidRPr="00BA3D57" w:rsidRDefault="0044579F" w:rsidP="003263C0">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petri-dishes </w:t>
      </w:r>
    </w:p>
    <w:p w14:paraId="6E3C74B1" w14:textId="77777777" w:rsidR="0044579F" w:rsidRPr="00BA3D57" w:rsidRDefault="0044579F" w:rsidP="003263C0">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05589FD" w14:textId="77777777" w:rsidR="0044579F" w:rsidRPr="00BD77EA" w:rsidRDefault="0044579F" w:rsidP="003263C0">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C522334" w14:textId="77777777" w:rsidR="0044579F" w:rsidRPr="009E740A" w:rsidRDefault="0044579F" w:rsidP="003263C0">
      <w:pPr>
        <w:spacing w:line="239" w:lineRule="auto"/>
        <w:ind w:left="-3" w:right="131"/>
        <w:rPr>
          <w:color w:val="0A2F41" w:themeColor="accent1" w:themeShade="80"/>
        </w:rPr>
      </w:pPr>
    </w:p>
    <w:p w14:paraId="260EDD19" w14:textId="04354543" w:rsidR="00424BB9" w:rsidRPr="00890069" w:rsidRDefault="00000000" w:rsidP="003263C0">
      <w:pPr>
        <w:pStyle w:val="Heading1"/>
        <w:ind w:left="0" w:firstLine="0"/>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000000" w:rsidP="003263C0">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609942C0" w14:textId="77777777" w:rsidR="009E740A" w:rsidRPr="009E740A" w:rsidRDefault="009E740A" w:rsidP="003263C0">
      <w:pPr>
        <w:pStyle w:val="Heading1"/>
        <w:ind w:left="86"/>
        <w:jc w:val="both"/>
        <w:rPr>
          <w:bCs/>
          <w:color w:val="0A2F41" w:themeColor="accent1" w:themeShade="80"/>
          <w:kern w:val="0"/>
          <w:sz w:val="2"/>
          <w:szCs w:val="2"/>
          <w:lang w:val="en-US" w:eastAsia="en-US"/>
          <w14:ligatures w14:val="none"/>
        </w:rPr>
      </w:pPr>
    </w:p>
    <w:p w14:paraId="05FFF7B3" w14:textId="77777777" w:rsidR="00315D2B" w:rsidRDefault="00315D2B" w:rsidP="003263C0">
      <w:pPr>
        <w:pStyle w:val="Heading1"/>
        <w:ind w:left="86"/>
        <w:jc w:val="both"/>
        <w:rPr>
          <w:bCs/>
          <w:color w:val="0A2F41" w:themeColor="accent1" w:themeShade="80"/>
          <w:kern w:val="0"/>
          <w:szCs w:val="18"/>
          <w:lang w:val="en-US" w:eastAsia="en-US"/>
          <w14:ligatures w14:val="none"/>
        </w:rPr>
      </w:pPr>
    </w:p>
    <w:p w14:paraId="506E6F9E" w14:textId="77777777" w:rsidR="00315D2B" w:rsidRPr="00315D2B" w:rsidRDefault="00315D2B" w:rsidP="00315D2B">
      <w:pPr>
        <w:rPr>
          <w:lang w:val="en-US" w:eastAsia="en-US"/>
        </w:rPr>
      </w:pPr>
    </w:p>
    <w:p w14:paraId="0E826753" w14:textId="1A03271B" w:rsidR="00424BB9" w:rsidRPr="00890069" w:rsidRDefault="00000000" w:rsidP="003263C0">
      <w:pPr>
        <w:pStyle w:val="Heading1"/>
        <w:ind w:left="86"/>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PERFORMANCE CHARACTERISTICS  </w:t>
      </w:r>
    </w:p>
    <w:p w14:paraId="6E0B665D" w14:textId="6784DDD9" w:rsidR="00424BB9" w:rsidRPr="00F504CF" w:rsidRDefault="00000000" w:rsidP="003263C0">
      <w:pPr>
        <w:spacing w:after="76"/>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F504CF">
        <w:rPr>
          <w:rFonts w:ascii="Arial MT" w:eastAsia="Arial MT" w:hAnsi="Arial MT" w:cs="Arial MT"/>
          <w:color w:val="0A2F41" w:themeColor="accent1" w:themeShade="80"/>
          <w:kern w:val="0"/>
          <w:szCs w:val="16"/>
          <w:lang w:val="en-US" w:eastAsia="en-US"/>
          <w14:ligatures w14:val="none"/>
        </w:rPr>
        <w:t>.</w:t>
      </w:r>
    </w:p>
    <w:tbl>
      <w:tblPr>
        <w:tblStyle w:val="TableGrid"/>
        <w:tblpPr w:vertAnchor="text" w:tblpX="5" w:tblpY="383"/>
        <w:tblOverlap w:val="never"/>
        <w:tblW w:w="5005" w:type="dxa"/>
        <w:tblInd w:w="0" w:type="dxa"/>
        <w:tblBorders>
          <w:top w:val="single" w:sz="18" w:space="0" w:color="92D050"/>
          <w:bottom w:val="single" w:sz="18" w:space="0" w:color="92D050"/>
        </w:tblBorders>
        <w:tblCellMar>
          <w:top w:w="3" w:type="dxa"/>
          <w:left w:w="108" w:type="dxa"/>
          <w:right w:w="158" w:type="dxa"/>
        </w:tblCellMar>
        <w:tblLook w:val="04A0" w:firstRow="1" w:lastRow="0" w:firstColumn="1" w:lastColumn="0" w:noHBand="0" w:noVBand="1"/>
      </w:tblPr>
      <w:tblGrid>
        <w:gridCol w:w="2122"/>
        <w:gridCol w:w="1589"/>
        <w:gridCol w:w="1294"/>
      </w:tblGrid>
      <w:tr w:rsidR="003263C0" w:rsidRPr="003263C0" w14:paraId="36C2FE29" w14:textId="77777777" w:rsidTr="00315D2B">
        <w:trPr>
          <w:trHeight w:val="379"/>
        </w:trPr>
        <w:tc>
          <w:tcPr>
            <w:tcW w:w="2122" w:type="dxa"/>
            <w:tcBorders>
              <w:top w:val="single" w:sz="18" w:space="0" w:color="92D050"/>
              <w:bottom w:val="single" w:sz="18" w:space="0" w:color="92D050"/>
            </w:tcBorders>
            <w:vAlign w:val="center"/>
          </w:tcPr>
          <w:p w14:paraId="3EC60DD1" w14:textId="5483F99F" w:rsidR="003263C0" w:rsidRPr="003263C0" w:rsidRDefault="003263C0" w:rsidP="00315D2B">
            <w:pPr>
              <w:spacing w:after="0" w:line="259" w:lineRule="auto"/>
              <w:ind w:left="0" w:right="0" w:firstLine="0"/>
              <w:jc w:val="center"/>
              <w:rPr>
                <w:rFonts w:ascii="Arial MT" w:eastAsia="Arial MT" w:hAnsi="Arial MT" w:cs="Arial MT"/>
                <w:b/>
                <w:bCs/>
                <w:color w:val="0A2F41" w:themeColor="accent1" w:themeShade="80"/>
                <w:kern w:val="0"/>
                <w:szCs w:val="16"/>
                <w:lang w:val="en-US" w:eastAsia="en-US"/>
                <w14:ligatures w14:val="none"/>
              </w:rPr>
            </w:pPr>
            <w:r w:rsidRPr="003263C0">
              <w:rPr>
                <w:rFonts w:ascii="Arial MT" w:eastAsia="Arial MT" w:hAnsi="Arial MT" w:cs="Arial MT"/>
                <w:b/>
                <w:bCs/>
                <w:color w:val="0A2F41" w:themeColor="accent1" w:themeShade="80"/>
                <w:kern w:val="0"/>
                <w:szCs w:val="16"/>
                <w:lang w:val="en-US" w:eastAsia="en-US"/>
                <w14:ligatures w14:val="none"/>
              </w:rPr>
              <w:t>Microorganism</w:t>
            </w:r>
          </w:p>
        </w:tc>
        <w:tc>
          <w:tcPr>
            <w:tcW w:w="1589" w:type="dxa"/>
            <w:tcBorders>
              <w:top w:val="single" w:sz="18" w:space="0" w:color="92D050"/>
              <w:bottom w:val="single" w:sz="18" w:space="0" w:color="92D050"/>
            </w:tcBorders>
            <w:vAlign w:val="center"/>
          </w:tcPr>
          <w:p w14:paraId="4F0CEC08" w14:textId="660C2419" w:rsidR="003263C0" w:rsidRPr="003263C0" w:rsidRDefault="003263C0" w:rsidP="00315D2B">
            <w:pPr>
              <w:spacing w:after="0" w:line="259" w:lineRule="auto"/>
              <w:ind w:left="1" w:right="0" w:firstLine="0"/>
              <w:jc w:val="center"/>
              <w:rPr>
                <w:rFonts w:ascii="Arial MT" w:eastAsia="Arial MT" w:hAnsi="Arial MT" w:cs="Arial MT"/>
                <w:b/>
                <w:bCs/>
                <w:color w:val="0A2F41" w:themeColor="accent1" w:themeShade="80"/>
                <w:kern w:val="0"/>
                <w:szCs w:val="16"/>
                <w:lang w:val="en-US" w:eastAsia="en-US"/>
                <w14:ligatures w14:val="none"/>
              </w:rPr>
            </w:pPr>
            <w:r w:rsidRPr="003263C0">
              <w:rPr>
                <w:rFonts w:ascii="Arial MT" w:eastAsia="Arial MT" w:hAnsi="Arial MT" w:cs="Arial MT"/>
                <w:b/>
                <w:bCs/>
                <w:color w:val="0A2F41" w:themeColor="accent1" w:themeShade="80"/>
                <w:kern w:val="0"/>
                <w:szCs w:val="16"/>
                <w:lang w:val="en-US" w:eastAsia="en-US"/>
                <w14:ligatures w14:val="none"/>
              </w:rPr>
              <w:t>Result</w:t>
            </w:r>
          </w:p>
        </w:tc>
        <w:tc>
          <w:tcPr>
            <w:tcW w:w="1294" w:type="dxa"/>
            <w:tcBorders>
              <w:top w:val="single" w:sz="18" w:space="0" w:color="92D050"/>
              <w:bottom w:val="single" w:sz="18" w:space="0" w:color="92D050"/>
            </w:tcBorders>
            <w:vAlign w:val="center"/>
          </w:tcPr>
          <w:p w14:paraId="3DC7D855" w14:textId="7AD1BD07" w:rsidR="003263C0" w:rsidRPr="003263C0" w:rsidRDefault="003263C0" w:rsidP="00315D2B">
            <w:pPr>
              <w:spacing w:after="0" w:line="259" w:lineRule="auto"/>
              <w:ind w:left="130" w:right="0" w:firstLine="130"/>
              <w:jc w:val="center"/>
              <w:rPr>
                <w:rFonts w:ascii="Arial MT" w:eastAsia="Arial MT" w:hAnsi="Arial MT" w:cs="Arial MT"/>
                <w:b/>
                <w:bCs/>
                <w:color w:val="0A2F41" w:themeColor="accent1" w:themeShade="80"/>
                <w:kern w:val="0"/>
                <w:szCs w:val="16"/>
                <w:lang w:val="en-US" w:eastAsia="en-US"/>
                <w14:ligatures w14:val="none"/>
              </w:rPr>
            </w:pPr>
            <w:r w:rsidRPr="003263C0">
              <w:rPr>
                <w:rFonts w:ascii="Arial MT" w:eastAsia="Arial MT" w:hAnsi="Arial MT" w:cs="Arial MT"/>
                <w:b/>
                <w:bCs/>
                <w:color w:val="0A2F41" w:themeColor="accent1" w:themeShade="80"/>
                <w:kern w:val="0"/>
                <w:szCs w:val="16"/>
                <w:lang w:val="en-US" w:eastAsia="en-US"/>
                <w14:ligatures w14:val="none"/>
              </w:rPr>
              <w:t>Citrate Utilization</w:t>
            </w:r>
          </w:p>
        </w:tc>
      </w:tr>
      <w:tr w:rsidR="003263C0" w:rsidRPr="003263C0" w14:paraId="0AA56E5F" w14:textId="77777777" w:rsidTr="00315D2B">
        <w:trPr>
          <w:trHeight w:val="562"/>
        </w:trPr>
        <w:tc>
          <w:tcPr>
            <w:tcW w:w="2122" w:type="dxa"/>
            <w:tcBorders>
              <w:top w:val="single" w:sz="18" w:space="0" w:color="92D050"/>
              <w:bottom w:val="single" w:sz="8" w:space="0" w:color="E8E8E8" w:themeColor="background2"/>
            </w:tcBorders>
            <w:vAlign w:val="center"/>
          </w:tcPr>
          <w:p w14:paraId="719D3718" w14:textId="5B4DAF9A"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 xml:space="preserve">Citrobacter </w:t>
            </w:r>
            <w:proofErr w:type="spellStart"/>
            <w:proofErr w:type="gramStart"/>
            <w:r w:rsidRPr="003263C0">
              <w:rPr>
                <w:rFonts w:ascii="Arial MT" w:eastAsia="Arial MT" w:hAnsi="Arial MT" w:cs="Arial MT"/>
                <w:i/>
                <w:iCs/>
                <w:color w:val="0A2F41" w:themeColor="accent1" w:themeShade="80"/>
                <w:kern w:val="0"/>
                <w:szCs w:val="16"/>
                <w:lang w:val="en-US" w:eastAsia="en-US"/>
                <w14:ligatures w14:val="none"/>
              </w:rPr>
              <w:t>freundii</w:t>
            </w:r>
            <w:proofErr w:type="spellEnd"/>
            <w:r w:rsidRPr="003263C0">
              <w:rPr>
                <w:rFonts w:ascii="Arial MT" w:eastAsia="Arial MT" w:hAnsi="Arial MT" w:cs="Arial MT"/>
                <w:i/>
                <w:iCs/>
                <w:color w:val="0A2F41" w:themeColor="accent1" w:themeShade="80"/>
                <w:kern w:val="0"/>
                <w:szCs w:val="16"/>
                <w:lang w:val="en-US" w:eastAsia="en-US"/>
                <w14:ligatures w14:val="none"/>
              </w:rPr>
              <w:t xml:space="preserve">  ATCC</w:t>
            </w:r>
            <w:proofErr w:type="gramEnd"/>
            <w:r w:rsidRPr="003263C0">
              <w:rPr>
                <w:rFonts w:ascii="Arial MT" w:eastAsia="Arial MT" w:hAnsi="Arial MT" w:cs="Arial MT"/>
                <w:i/>
                <w:iCs/>
                <w:color w:val="0A2F41" w:themeColor="accent1" w:themeShade="80"/>
                <w:kern w:val="0"/>
                <w:szCs w:val="16"/>
                <w:lang w:val="en-US" w:eastAsia="en-US"/>
                <w14:ligatures w14:val="none"/>
              </w:rPr>
              <w:t xml:space="preserve"> 43864</w:t>
            </w:r>
          </w:p>
        </w:tc>
        <w:tc>
          <w:tcPr>
            <w:tcW w:w="1589" w:type="dxa"/>
            <w:tcBorders>
              <w:top w:val="single" w:sz="18" w:space="0" w:color="92D050"/>
              <w:bottom w:val="single" w:sz="8" w:space="0" w:color="E8E8E8" w:themeColor="background2"/>
            </w:tcBorders>
            <w:vAlign w:val="center"/>
          </w:tcPr>
          <w:p w14:paraId="37578982" w14:textId="4E567CBD" w:rsidR="003263C0" w:rsidRPr="003263C0" w:rsidRDefault="003263C0" w:rsidP="00315D2B">
            <w:pPr>
              <w:spacing w:after="0" w:line="259" w:lineRule="auto"/>
              <w:ind w:left="1" w:right="0" w:firstLine="0"/>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Luxuriant growth</w:t>
            </w:r>
          </w:p>
        </w:tc>
        <w:tc>
          <w:tcPr>
            <w:tcW w:w="1294" w:type="dxa"/>
            <w:tcBorders>
              <w:top w:val="single" w:sz="18" w:space="0" w:color="92D050"/>
              <w:bottom w:val="single" w:sz="8" w:space="0" w:color="E8E8E8" w:themeColor="background2"/>
            </w:tcBorders>
            <w:vAlign w:val="center"/>
          </w:tcPr>
          <w:p w14:paraId="34430862" w14:textId="66FC37AC" w:rsidR="003263C0" w:rsidRPr="003263C0" w:rsidRDefault="003263C0" w:rsidP="00315D2B">
            <w:pPr>
              <w:spacing w:after="0" w:line="259" w:lineRule="auto"/>
              <w:ind w:left="151" w:right="0" w:hanging="74"/>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Positive and gives blue color</w:t>
            </w:r>
          </w:p>
        </w:tc>
      </w:tr>
      <w:tr w:rsidR="003263C0" w:rsidRPr="003263C0" w14:paraId="6B423F74" w14:textId="77777777" w:rsidTr="00315D2B">
        <w:trPr>
          <w:trHeight w:val="562"/>
        </w:trPr>
        <w:tc>
          <w:tcPr>
            <w:tcW w:w="2122" w:type="dxa"/>
            <w:tcBorders>
              <w:top w:val="single" w:sz="8" w:space="0" w:color="E8E8E8" w:themeColor="background2"/>
              <w:bottom w:val="single" w:sz="8" w:space="0" w:color="E8E8E8" w:themeColor="background2"/>
            </w:tcBorders>
            <w:vAlign w:val="center"/>
          </w:tcPr>
          <w:p w14:paraId="0787F307" w14:textId="74F0B997"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Klebsiella (Enterobacter)</w:t>
            </w:r>
          </w:p>
          <w:p w14:paraId="05831615" w14:textId="520CDC93" w:rsidR="003263C0" w:rsidRPr="003263C0" w:rsidRDefault="003263C0" w:rsidP="00315D2B">
            <w:pPr>
              <w:spacing w:after="0" w:line="259" w:lineRule="auto"/>
              <w:ind w:left="0" w:right="565"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aerogenes (ATCC 13048)</w:t>
            </w:r>
          </w:p>
        </w:tc>
        <w:tc>
          <w:tcPr>
            <w:tcW w:w="1589" w:type="dxa"/>
            <w:tcBorders>
              <w:top w:val="single" w:sz="8" w:space="0" w:color="E8E8E8" w:themeColor="background2"/>
              <w:bottom w:val="single" w:sz="8" w:space="0" w:color="E8E8E8" w:themeColor="background2"/>
            </w:tcBorders>
            <w:vAlign w:val="center"/>
          </w:tcPr>
          <w:p w14:paraId="10F2E27F" w14:textId="5276E405" w:rsidR="003263C0" w:rsidRPr="003263C0" w:rsidRDefault="003263C0" w:rsidP="00315D2B">
            <w:pPr>
              <w:spacing w:after="0" w:line="259" w:lineRule="auto"/>
              <w:ind w:left="2" w:right="0" w:firstLine="0"/>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Luxuriant growth</w:t>
            </w:r>
          </w:p>
        </w:tc>
        <w:tc>
          <w:tcPr>
            <w:tcW w:w="1294" w:type="dxa"/>
            <w:tcBorders>
              <w:top w:val="single" w:sz="8" w:space="0" w:color="E8E8E8" w:themeColor="background2"/>
              <w:bottom w:val="single" w:sz="8" w:space="0" w:color="E8E8E8" w:themeColor="background2"/>
            </w:tcBorders>
            <w:vAlign w:val="center"/>
          </w:tcPr>
          <w:p w14:paraId="50E7E4D2" w14:textId="36166DE2" w:rsidR="003263C0" w:rsidRPr="003263C0" w:rsidRDefault="003263C0" w:rsidP="00315D2B">
            <w:pPr>
              <w:spacing w:after="0" w:line="259" w:lineRule="auto"/>
              <w:ind w:left="151" w:right="0" w:hanging="74"/>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Positive and gives blue color</w:t>
            </w:r>
          </w:p>
        </w:tc>
      </w:tr>
      <w:tr w:rsidR="003263C0" w:rsidRPr="003263C0" w14:paraId="200BD402" w14:textId="77777777" w:rsidTr="00315D2B">
        <w:trPr>
          <w:trHeight w:val="562"/>
        </w:trPr>
        <w:tc>
          <w:tcPr>
            <w:tcW w:w="2122" w:type="dxa"/>
            <w:tcBorders>
              <w:top w:val="single" w:sz="8" w:space="0" w:color="E8E8E8" w:themeColor="background2"/>
              <w:bottom w:val="single" w:sz="8" w:space="0" w:color="E8E8E8" w:themeColor="background2"/>
            </w:tcBorders>
            <w:vAlign w:val="center"/>
          </w:tcPr>
          <w:p w14:paraId="678925F2" w14:textId="15823751"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Salmonella Typhi</w:t>
            </w:r>
          </w:p>
          <w:p w14:paraId="1381A8D5" w14:textId="3F90EB74"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ATCC 6539</w:t>
            </w:r>
          </w:p>
        </w:tc>
        <w:tc>
          <w:tcPr>
            <w:tcW w:w="1589" w:type="dxa"/>
            <w:tcBorders>
              <w:top w:val="single" w:sz="8" w:space="0" w:color="E8E8E8" w:themeColor="background2"/>
              <w:bottom w:val="single" w:sz="8" w:space="0" w:color="E8E8E8" w:themeColor="background2"/>
            </w:tcBorders>
            <w:vAlign w:val="center"/>
          </w:tcPr>
          <w:p w14:paraId="7036A6C7" w14:textId="35A5907E" w:rsidR="003263C0" w:rsidRPr="003263C0" w:rsidRDefault="003263C0" w:rsidP="00315D2B">
            <w:pPr>
              <w:spacing w:after="0" w:line="259" w:lineRule="auto"/>
              <w:ind w:left="0" w:right="1" w:firstLine="0"/>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Fair-good growth</w:t>
            </w:r>
          </w:p>
        </w:tc>
        <w:tc>
          <w:tcPr>
            <w:tcW w:w="1294" w:type="dxa"/>
            <w:tcBorders>
              <w:top w:val="single" w:sz="8" w:space="0" w:color="E8E8E8" w:themeColor="background2"/>
              <w:bottom w:val="single" w:sz="8" w:space="0" w:color="E8E8E8" w:themeColor="background2"/>
            </w:tcBorders>
            <w:vAlign w:val="center"/>
          </w:tcPr>
          <w:p w14:paraId="7BA9115B" w14:textId="2BA4F2F6" w:rsidR="003263C0" w:rsidRPr="003263C0" w:rsidRDefault="003263C0" w:rsidP="00315D2B">
            <w:pPr>
              <w:spacing w:after="0" w:line="259" w:lineRule="auto"/>
              <w:ind w:left="99" w:right="0" w:hanging="58"/>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Negative and gives green color</w:t>
            </w:r>
          </w:p>
        </w:tc>
      </w:tr>
      <w:tr w:rsidR="003263C0" w:rsidRPr="003263C0" w14:paraId="4B5AB6AA" w14:textId="77777777" w:rsidTr="00315D2B">
        <w:trPr>
          <w:trHeight w:val="562"/>
        </w:trPr>
        <w:tc>
          <w:tcPr>
            <w:tcW w:w="2122" w:type="dxa"/>
            <w:tcBorders>
              <w:top w:val="single" w:sz="8" w:space="0" w:color="E8E8E8" w:themeColor="background2"/>
              <w:bottom w:val="single" w:sz="8" w:space="0" w:color="E8E8E8" w:themeColor="background2"/>
            </w:tcBorders>
            <w:vAlign w:val="center"/>
          </w:tcPr>
          <w:p w14:paraId="00D125A0" w14:textId="7209A241"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Salmonella Typhimurium ATCC 14028</w:t>
            </w:r>
          </w:p>
        </w:tc>
        <w:tc>
          <w:tcPr>
            <w:tcW w:w="1589" w:type="dxa"/>
            <w:tcBorders>
              <w:top w:val="single" w:sz="8" w:space="0" w:color="E8E8E8" w:themeColor="background2"/>
              <w:bottom w:val="single" w:sz="8" w:space="0" w:color="E8E8E8" w:themeColor="background2"/>
            </w:tcBorders>
            <w:vAlign w:val="center"/>
          </w:tcPr>
          <w:p w14:paraId="729D16E1" w14:textId="76A27E1D" w:rsidR="003263C0" w:rsidRPr="003263C0" w:rsidRDefault="003263C0" w:rsidP="00315D2B">
            <w:pPr>
              <w:spacing w:after="0" w:line="259" w:lineRule="auto"/>
              <w:ind w:left="2" w:right="0" w:firstLine="0"/>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Luxuriant growth</w:t>
            </w:r>
          </w:p>
        </w:tc>
        <w:tc>
          <w:tcPr>
            <w:tcW w:w="1294" w:type="dxa"/>
            <w:tcBorders>
              <w:top w:val="single" w:sz="8" w:space="0" w:color="E8E8E8" w:themeColor="background2"/>
              <w:bottom w:val="single" w:sz="8" w:space="0" w:color="E8E8E8" w:themeColor="background2"/>
            </w:tcBorders>
            <w:vAlign w:val="center"/>
          </w:tcPr>
          <w:p w14:paraId="0F83B8F1" w14:textId="52CD0AF5" w:rsidR="003263C0" w:rsidRPr="003263C0" w:rsidRDefault="003263C0" w:rsidP="00315D2B">
            <w:pPr>
              <w:spacing w:after="0" w:line="259" w:lineRule="auto"/>
              <w:ind w:left="151" w:right="0" w:hanging="74"/>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Positive and gives blue color</w:t>
            </w:r>
          </w:p>
        </w:tc>
      </w:tr>
      <w:tr w:rsidR="003263C0" w:rsidRPr="003263C0" w14:paraId="45278F59" w14:textId="77777777" w:rsidTr="00315D2B">
        <w:trPr>
          <w:trHeight w:val="379"/>
        </w:trPr>
        <w:tc>
          <w:tcPr>
            <w:tcW w:w="2122" w:type="dxa"/>
            <w:tcBorders>
              <w:top w:val="single" w:sz="8" w:space="0" w:color="E8E8E8" w:themeColor="background2"/>
              <w:bottom w:val="single" w:sz="8" w:space="0" w:color="E8E8E8" w:themeColor="background2"/>
            </w:tcBorders>
            <w:vAlign w:val="center"/>
          </w:tcPr>
          <w:p w14:paraId="721E6BAD" w14:textId="1F2A2C8D"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 xml:space="preserve">Shigella </w:t>
            </w:r>
            <w:proofErr w:type="spellStart"/>
            <w:r w:rsidRPr="003263C0">
              <w:rPr>
                <w:rFonts w:ascii="Arial MT" w:eastAsia="Arial MT" w:hAnsi="Arial MT" w:cs="Arial MT"/>
                <w:i/>
                <w:iCs/>
                <w:color w:val="0A2F41" w:themeColor="accent1" w:themeShade="80"/>
                <w:kern w:val="0"/>
                <w:szCs w:val="16"/>
                <w:lang w:val="en-US" w:eastAsia="en-US"/>
                <w14:ligatures w14:val="none"/>
              </w:rPr>
              <w:t>dysenteriae</w:t>
            </w:r>
            <w:proofErr w:type="spellEnd"/>
          </w:p>
          <w:p w14:paraId="1415B679" w14:textId="2FFBE501"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ATCC 13313</w:t>
            </w:r>
          </w:p>
        </w:tc>
        <w:tc>
          <w:tcPr>
            <w:tcW w:w="1589" w:type="dxa"/>
            <w:tcBorders>
              <w:top w:val="single" w:sz="8" w:space="0" w:color="E8E8E8" w:themeColor="background2"/>
              <w:bottom w:val="single" w:sz="8" w:space="0" w:color="E8E8E8" w:themeColor="background2"/>
            </w:tcBorders>
            <w:vAlign w:val="center"/>
          </w:tcPr>
          <w:p w14:paraId="200605B8" w14:textId="6D8D31A6" w:rsidR="003263C0" w:rsidRPr="003263C0" w:rsidRDefault="003263C0" w:rsidP="00315D2B">
            <w:pPr>
              <w:spacing w:after="0" w:line="259" w:lineRule="auto"/>
              <w:ind w:left="4" w:right="0" w:firstLine="0"/>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Inhibited</w:t>
            </w:r>
          </w:p>
        </w:tc>
        <w:tc>
          <w:tcPr>
            <w:tcW w:w="1294" w:type="dxa"/>
            <w:tcBorders>
              <w:top w:val="single" w:sz="8" w:space="0" w:color="E8E8E8" w:themeColor="background2"/>
              <w:bottom w:val="single" w:sz="8" w:space="0" w:color="E8E8E8" w:themeColor="background2"/>
            </w:tcBorders>
            <w:vAlign w:val="center"/>
          </w:tcPr>
          <w:p w14:paraId="22161B71" w14:textId="5CB6A8C9" w:rsidR="003263C0" w:rsidRPr="003263C0" w:rsidRDefault="003263C0" w:rsidP="00315D2B">
            <w:pPr>
              <w:spacing w:after="0" w:line="259" w:lineRule="auto"/>
              <w:ind w:left="0" w:right="0" w:firstLine="0"/>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w:t>
            </w:r>
          </w:p>
        </w:tc>
      </w:tr>
      <w:tr w:rsidR="003263C0" w:rsidRPr="003263C0" w14:paraId="59FD37BF" w14:textId="77777777" w:rsidTr="00315D2B">
        <w:trPr>
          <w:trHeight w:val="377"/>
        </w:trPr>
        <w:tc>
          <w:tcPr>
            <w:tcW w:w="2122" w:type="dxa"/>
            <w:tcBorders>
              <w:top w:val="single" w:sz="8" w:space="0" w:color="E8E8E8" w:themeColor="background2"/>
              <w:bottom w:val="single" w:sz="8" w:space="0" w:color="E8E8E8" w:themeColor="background2"/>
            </w:tcBorders>
            <w:vAlign w:val="center"/>
          </w:tcPr>
          <w:p w14:paraId="19B3263F" w14:textId="66760E0B"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Escherichia coli</w:t>
            </w:r>
          </w:p>
          <w:p w14:paraId="08CEFB5C" w14:textId="5A05B2D5"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ATCC 25922</w:t>
            </w:r>
          </w:p>
        </w:tc>
        <w:tc>
          <w:tcPr>
            <w:tcW w:w="1589" w:type="dxa"/>
            <w:tcBorders>
              <w:top w:val="single" w:sz="8" w:space="0" w:color="E8E8E8" w:themeColor="background2"/>
              <w:bottom w:val="single" w:sz="8" w:space="0" w:color="E8E8E8" w:themeColor="background2"/>
            </w:tcBorders>
            <w:vAlign w:val="center"/>
          </w:tcPr>
          <w:p w14:paraId="078D9BF1" w14:textId="27AA725E" w:rsidR="003263C0" w:rsidRPr="003263C0" w:rsidRDefault="003263C0" w:rsidP="00315D2B">
            <w:pPr>
              <w:spacing w:after="0" w:line="259" w:lineRule="auto"/>
              <w:ind w:left="4" w:right="0" w:firstLine="0"/>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Inhibited</w:t>
            </w:r>
          </w:p>
        </w:tc>
        <w:tc>
          <w:tcPr>
            <w:tcW w:w="1294" w:type="dxa"/>
            <w:tcBorders>
              <w:top w:val="single" w:sz="8" w:space="0" w:color="E8E8E8" w:themeColor="background2"/>
              <w:bottom w:val="single" w:sz="8" w:space="0" w:color="E8E8E8" w:themeColor="background2"/>
            </w:tcBorders>
            <w:vAlign w:val="center"/>
          </w:tcPr>
          <w:p w14:paraId="5EA423C5" w14:textId="50F24395" w:rsidR="003263C0" w:rsidRPr="003263C0" w:rsidRDefault="003263C0" w:rsidP="00315D2B">
            <w:pPr>
              <w:spacing w:after="0" w:line="259" w:lineRule="auto"/>
              <w:ind w:left="0" w:right="0" w:firstLine="0"/>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w:t>
            </w:r>
          </w:p>
        </w:tc>
      </w:tr>
      <w:tr w:rsidR="003263C0" w:rsidRPr="003263C0" w14:paraId="059060A8" w14:textId="77777777" w:rsidTr="00315D2B">
        <w:trPr>
          <w:trHeight w:val="564"/>
        </w:trPr>
        <w:tc>
          <w:tcPr>
            <w:tcW w:w="2122" w:type="dxa"/>
            <w:tcBorders>
              <w:top w:val="single" w:sz="8" w:space="0" w:color="E8E8E8" w:themeColor="background2"/>
              <w:bottom w:val="single" w:sz="18" w:space="0" w:color="92D050"/>
            </w:tcBorders>
            <w:vAlign w:val="center"/>
          </w:tcPr>
          <w:p w14:paraId="62508BE7" w14:textId="7917973F"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Salmonella Enteritidis</w:t>
            </w:r>
          </w:p>
          <w:p w14:paraId="4713FDE0" w14:textId="19125036" w:rsidR="003263C0" w:rsidRPr="003263C0" w:rsidRDefault="003263C0" w:rsidP="00315D2B">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3263C0">
              <w:rPr>
                <w:rFonts w:ascii="Arial MT" w:eastAsia="Arial MT" w:hAnsi="Arial MT" w:cs="Arial MT"/>
                <w:i/>
                <w:iCs/>
                <w:color w:val="0A2F41" w:themeColor="accent1" w:themeShade="80"/>
                <w:kern w:val="0"/>
                <w:szCs w:val="16"/>
                <w:lang w:val="en-US" w:eastAsia="en-US"/>
                <w14:ligatures w14:val="none"/>
              </w:rPr>
              <w:t>ATCC 13076</w:t>
            </w:r>
          </w:p>
        </w:tc>
        <w:tc>
          <w:tcPr>
            <w:tcW w:w="1589" w:type="dxa"/>
            <w:tcBorders>
              <w:top w:val="single" w:sz="8" w:space="0" w:color="E8E8E8" w:themeColor="background2"/>
              <w:bottom w:val="single" w:sz="18" w:space="0" w:color="92D050"/>
            </w:tcBorders>
            <w:vAlign w:val="center"/>
          </w:tcPr>
          <w:p w14:paraId="64FF55DC" w14:textId="6E9BF910" w:rsidR="003263C0" w:rsidRPr="003263C0" w:rsidRDefault="003263C0" w:rsidP="00315D2B">
            <w:pPr>
              <w:spacing w:after="0" w:line="259" w:lineRule="auto"/>
              <w:ind w:left="2" w:right="0" w:firstLine="0"/>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Luxuriant growth</w:t>
            </w:r>
          </w:p>
        </w:tc>
        <w:tc>
          <w:tcPr>
            <w:tcW w:w="1294" w:type="dxa"/>
            <w:tcBorders>
              <w:top w:val="single" w:sz="8" w:space="0" w:color="E8E8E8" w:themeColor="background2"/>
              <w:bottom w:val="single" w:sz="18" w:space="0" w:color="92D050"/>
            </w:tcBorders>
            <w:vAlign w:val="center"/>
          </w:tcPr>
          <w:p w14:paraId="328DD0CF" w14:textId="70AEC5A8" w:rsidR="003263C0" w:rsidRPr="003263C0" w:rsidRDefault="003263C0" w:rsidP="00315D2B">
            <w:pPr>
              <w:spacing w:after="0" w:line="259" w:lineRule="auto"/>
              <w:ind w:left="151" w:right="0" w:hanging="74"/>
              <w:jc w:val="center"/>
              <w:rPr>
                <w:rFonts w:ascii="Arial MT" w:eastAsia="Arial MT" w:hAnsi="Arial MT" w:cs="Arial MT"/>
                <w:color w:val="0A2F41" w:themeColor="accent1" w:themeShade="80"/>
                <w:kern w:val="0"/>
                <w:szCs w:val="16"/>
                <w:lang w:val="en-US" w:eastAsia="en-US"/>
                <w14:ligatures w14:val="none"/>
              </w:rPr>
            </w:pPr>
            <w:r w:rsidRPr="003263C0">
              <w:rPr>
                <w:rFonts w:ascii="Arial MT" w:eastAsia="Arial MT" w:hAnsi="Arial MT" w:cs="Arial MT"/>
                <w:color w:val="0A2F41" w:themeColor="accent1" w:themeShade="80"/>
                <w:kern w:val="0"/>
                <w:szCs w:val="16"/>
                <w:lang w:val="en-US" w:eastAsia="en-US"/>
                <w14:ligatures w14:val="none"/>
              </w:rPr>
              <w:t>Positive and gives blue color</w:t>
            </w:r>
          </w:p>
        </w:tc>
      </w:tr>
    </w:tbl>
    <w:p w14:paraId="0954328C" w14:textId="77777777" w:rsidR="00424BB9" w:rsidRDefault="00000000" w:rsidP="003263C0">
      <w:pPr>
        <w:spacing w:after="0" w:line="259" w:lineRule="auto"/>
        <w:ind w:left="0" w:right="0" w:firstLine="0"/>
      </w:pPr>
      <w:r>
        <w:rPr>
          <w:b/>
          <w:sz w:val="18"/>
        </w:rPr>
        <w:t xml:space="preserve"> </w:t>
      </w:r>
    </w:p>
    <w:p w14:paraId="7E23C8BF" w14:textId="77777777" w:rsidR="00424BB9" w:rsidRPr="002B5F89" w:rsidRDefault="00000000" w:rsidP="003263C0">
      <w:pPr>
        <w:pStyle w:val="Heading1"/>
        <w:ind w:left="10"/>
        <w:jc w:val="both"/>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029C5AD1" w14:textId="77777777" w:rsidR="003263C0" w:rsidRPr="003263C0" w:rsidRDefault="003263C0" w:rsidP="003263C0">
      <w:pPr>
        <w:numPr>
          <w:ilvl w:val="0"/>
          <w:numId w:val="10"/>
        </w:numPr>
        <w:spacing w:after="0" w:line="259" w:lineRule="auto"/>
        <w:ind w:right="0"/>
        <w:rPr>
          <w:rFonts w:ascii="Arial MT" w:eastAsia="Arial MT" w:hAnsi="Arial MT" w:cs="Arial MT"/>
          <w:color w:val="0A2F41" w:themeColor="accent1" w:themeShade="80"/>
          <w:kern w:val="0"/>
          <w:szCs w:val="16"/>
          <w:lang w:eastAsia="en-US"/>
          <w14:ligatures w14:val="none"/>
        </w:rPr>
      </w:pPr>
      <w:r w:rsidRPr="003263C0">
        <w:rPr>
          <w:rFonts w:ascii="Arial MT" w:eastAsia="Arial MT" w:hAnsi="Arial MT" w:cs="Arial MT"/>
          <w:color w:val="0A2F41" w:themeColor="accent1" w:themeShade="80"/>
          <w:kern w:val="0"/>
          <w:szCs w:val="16"/>
          <w:lang w:eastAsia="en-US"/>
          <w14:ligatures w14:val="none"/>
        </w:rPr>
        <w:t xml:space="preserve">Simmons, 1926, J. Infect. Dis., 39:209. </w:t>
      </w:r>
    </w:p>
    <w:p w14:paraId="4354AD36" w14:textId="77777777" w:rsidR="003263C0" w:rsidRPr="003263C0" w:rsidRDefault="003263C0" w:rsidP="003263C0">
      <w:pPr>
        <w:numPr>
          <w:ilvl w:val="0"/>
          <w:numId w:val="10"/>
        </w:numPr>
        <w:spacing w:after="0" w:line="259" w:lineRule="auto"/>
        <w:ind w:right="0"/>
        <w:rPr>
          <w:rFonts w:ascii="Arial MT" w:eastAsia="Arial MT" w:hAnsi="Arial MT" w:cs="Arial MT"/>
          <w:color w:val="0A2F41" w:themeColor="accent1" w:themeShade="80"/>
          <w:kern w:val="0"/>
          <w:szCs w:val="16"/>
          <w:lang w:eastAsia="en-US"/>
          <w14:ligatures w14:val="none"/>
        </w:rPr>
      </w:pPr>
      <w:r w:rsidRPr="003263C0">
        <w:rPr>
          <w:rFonts w:ascii="Arial MT" w:eastAsia="Arial MT" w:hAnsi="Arial MT" w:cs="Arial MT"/>
          <w:color w:val="0A2F41" w:themeColor="accent1" w:themeShade="80"/>
          <w:kern w:val="0"/>
          <w:szCs w:val="16"/>
          <w:lang w:eastAsia="en-US"/>
          <w14:ligatures w14:val="none"/>
        </w:rPr>
        <w:t xml:space="preserve">Baird R.B., Eaton A.D., and Rice E.W., (Eds.), 2015, Standard Methods for the Examination of Water and Wastewater, 23rd ed., APHA, Washington, D.C </w:t>
      </w:r>
    </w:p>
    <w:p w14:paraId="16EA2556" w14:textId="6CCDD200" w:rsidR="003263C0" w:rsidRPr="003263C0" w:rsidRDefault="003263C0" w:rsidP="00315D2B">
      <w:pPr>
        <w:numPr>
          <w:ilvl w:val="0"/>
          <w:numId w:val="10"/>
        </w:numPr>
        <w:spacing w:after="0" w:line="259" w:lineRule="auto"/>
        <w:ind w:right="0"/>
        <w:rPr>
          <w:rFonts w:ascii="Arial MT" w:eastAsia="Arial MT" w:hAnsi="Arial MT" w:cs="Arial MT"/>
          <w:color w:val="0A2F41" w:themeColor="accent1" w:themeShade="80"/>
          <w:kern w:val="0"/>
          <w:szCs w:val="16"/>
          <w:lang w:eastAsia="en-US"/>
          <w14:ligatures w14:val="none"/>
        </w:rPr>
      </w:pPr>
      <w:proofErr w:type="spellStart"/>
      <w:r w:rsidRPr="003263C0">
        <w:rPr>
          <w:rFonts w:ascii="Arial MT" w:eastAsia="Arial MT" w:hAnsi="Arial MT" w:cs="Arial MT"/>
          <w:color w:val="0A2F41" w:themeColor="accent1" w:themeShade="80"/>
          <w:kern w:val="0"/>
          <w:szCs w:val="16"/>
          <w:lang w:eastAsia="en-US"/>
          <w14:ligatures w14:val="none"/>
        </w:rPr>
        <w:t>Salfinger</w:t>
      </w:r>
      <w:proofErr w:type="spellEnd"/>
      <w:r w:rsidRPr="003263C0">
        <w:rPr>
          <w:rFonts w:ascii="Arial MT" w:eastAsia="Arial MT" w:hAnsi="Arial MT" w:cs="Arial MT"/>
          <w:color w:val="0A2F41" w:themeColor="accent1" w:themeShade="80"/>
          <w:kern w:val="0"/>
          <w:szCs w:val="16"/>
          <w:lang w:eastAsia="en-US"/>
          <w14:ligatures w14:val="none"/>
        </w:rPr>
        <w:t xml:space="preserve"> Y., and Tortorello M.L., 2015, Compendium of Methods for </w:t>
      </w:r>
      <w:r w:rsidR="00315D2B">
        <w:rPr>
          <w:rFonts w:ascii="Arial MT" w:eastAsia="Arial MT" w:hAnsi="Arial MT" w:cs="Arial MT"/>
          <w:color w:val="0A2F41" w:themeColor="accent1" w:themeShade="80"/>
          <w:kern w:val="0"/>
          <w:szCs w:val="16"/>
          <w:lang w:eastAsia="en-US"/>
          <w14:ligatures w14:val="none"/>
        </w:rPr>
        <w:t xml:space="preserve"> </w:t>
      </w:r>
      <w:r w:rsidRPr="003263C0">
        <w:rPr>
          <w:rFonts w:ascii="Arial MT" w:eastAsia="Arial MT" w:hAnsi="Arial MT" w:cs="Arial MT"/>
          <w:color w:val="0A2F41" w:themeColor="accent1" w:themeShade="80"/>
          <w:kern w:val="0"/>
          <w:szCs w:val="16"/>
          <w:lang w:eastAsia="en-US"/>
          <w14:ligatures w14:val="none"/>
        </w:rPr>
        <w:t xml:space="preserve">the Microbiological Examination of Foods, 5th Ed., American Public Health Association, Washington, D.C. </w:t>
      </w:r>
    </w:p>
    <w:p w14:paraId="2FA70D0B" w14:textId="77777777" w:rsidR="003263C0" w:rsidRPr="003263C0" w:rsidRDefault="003263C0" w:rsidP="003263C0">
      <w:pPr>
        <w:numPr>
          <w:ilvl w:val="0"/>
          <w:numId w:val="10"/>
        </w:numPr>
        <w:spacing w:after="0" w:line="259" w:lineRule="auto"/>
        <w:ind w:right="0"/>
        <w:rPr>
          <w:rFonts w:ascii="Arial MT" w:eastAsia="Arial MT" w:hAnsi="Arial MT" w:cs="Arial MT"/>
          <w:color w:val="0A2F41" w:themeColor="accent1" w:themeShade="80"/>
          <w:kern w:val="0"/>
          <w:szCs w:val="16"/>
          <w:lang w:eastAsia="en-US"/>
          <w14:ligatures w14:val="none"/>
        </w:rPr>
      </w:pPr>
      <w:proofErr w:type="spellStart"/>
      <w:r w:rsidRPr="003263C0">
        <w:rPr>
          <w:rFonts w:ascii="Arial MT" w:eastAsia="Arial MT" w:hAnsi="Arial MT" w:cs="Arial MT"/>
          <w:color w:val="0A2F41" w:themeColor="accent1" w:themeShade="80"/>
          <w:kern w:val="0"/>
          <w:szCs w:val="16"/>
          <w:lang w:eastAsia="en-US"/>
          <w14:ligatures w14:val="none"/>
        </w:rPr>
        <w:t>MacFaddin</w:t>
      </w:r>
      <w:proofErr w:type="spellEnd"/>
      <w:r w:rsidRPr="003263C0">
        <w:rPr>
          <w:rFonts w:ascii="Arial MT" w:eastAsia="Arial MT" w:hAnsi="Arial MT" w:cs="Arial MT"/>
          <w:color w:val="0A2F41" w:themeColor="accent1" w:themeShade="80"/>
          <w:kern w:val="0"/>
          <w:szCs w:val="16"/>
          <w:lang w:eastAsia="en-US"/>
          <w14:ligatures w14:val="none"/>
        </w:rPr>
        <w:t>, J. D. 1985. Media for isolation-cultivation-</w:t>
      </w:r>
      <w:proofErr w:type="spellStart"/>
      <w:r w:rsidRPr="003263C0">
        <w:rPr>
          <w:rFonts w:ascii="Arial MT" w:eastAsia="Arial MT" w:hAnsi="Arial MT" w:cs="Arial MT"/>
          <w:color w:val="0A2F41" w:themeColor="accent1" w:themeShade="80"/>
          <w:kern w:val="0"/>
          <w:szCs w:val="16"/>
          <w:lang w:eastAsia="en-US"/>
          <w14:ligatures w14:val="none"/>
        </w:rPr>
        <w:t>identificationmaintenance</w:t>
      </w:r>
      <w:proofErr w:type="spellEnd"/>
      <w:r w:rsidRPr="003263C0">
        <w:rPr>
          <w:rFonts w:ascii="Arial MT" w:eastAsia="Arial MT" w:hAnsi="Arial MT" w:cs="Arial MT"/>
          <w:color w:val="0A2F41" w:themeColor="accent1" w:themeShade="80"/>
          <w:kern w:val="0"/>
          <w:szCs w:val="16"/>
          <w:lang w:eastAsia="en-US"/>
          <w14:ligatures w14:val="none"/>
        </w:rPr>
        <w:t xml:space="preserve"> of medical bacteria, vol. 1. Williams &amp; Wilkins, Baltimore, MD.  </w:t>
      </w:r>
    </w:p>
    <w:p w14:paraId="36AC1D56" w14:textId="77777777" w:rsidR="003263C0" w:rsidRPr="003263C0" w:rsidRDefault="003263C0" w:rsidP="003263C0">
      <w:pPr>
        <w:numPr>
          <w:ilvl w:val="0"/>
          <w:numId w:val="10"/>
        </w:numPr>
        <w:spacing w:after="0" w:line="259" w:lineRule="auto"/>
        <w:ind w:right="0"/>
        <w:rPr>
          <w:rFonts w:ascii="Arial MT" w:eastAsia="Arial MT" w:hAnsi="Arial MT" w:cs="Arial MT"/>
          <w:color w:val="0A2F41" w:themeColor="accent1" w:themeShade="80"/>
          <w:kern w:val="0"/>
          <w:szCs w:val="16"/>
          <w:lang w:eastAsia="en-US"/>
          <w14:ligatures w14:val="none"/>
        </w:rPr>
      </w:pPr>
      <w:r w:rsidRPr="003263C0">
        <w:rPr>
          <w:rFonts w:ascii="Arial MT" w:eastAsia="Arial MT" w:hAnsi="Arial MT" w:cs="Arial MT"/>
          <w:color w:val="0A2F41" w:themeColor="accent1" w:themeShade="80"/>
          <w:kern w:val="0"/>
          <w:szCs w:val="16"/>
          <w:lang w:eastAsia="en-US"/>
          <w14:ligatures w14:val="none"/>
        </w:rPr>
        <w:t xml:space="preserve">www.fda.gov/Food/ScienceResearch/LaboratoryMethods/Bacteriolo </w:t>
      </w:r>
      <w:proofErr w:type="spellStart"/>
      <w:r w:rsidRPr="003263C0">
        <w:rPr>
          <w:rFonts w:ascii="Arial MT" w:eastAsia="Arial MT" w:hAnsi="Arial MT" w:cs="Arial MT"/>
          <w:color w:val="0A2F41" w:themeColor="accent1" w:themeShade="80"/>
          <w:kern w:val="0"/>
          <w:szCs w:val="16"/>
          <w:lang w:eastAsia="en-US"/>
          <w14:ligatures w14:val="none"/>
        </w:rPr>
        <w:t>gicalAnalyticalmanualBAM</w:t>
      </w:r>
      <w:proofErr w:type="spellEnd"/>
      <w:r w:rsidRPr="003263C0">
        <w:rPr>
          <w:rFonts w:ascii="Arial MT" w:eastAsia="Arial MT" w:hAnsi="Arial MT" w:cs="Arial MT"/>
          <w:color w:val="0A2F41" w:themeColor="accent1" w:themeShade="80"/>
          <w:kern w:val="0"/>
          <w:szCs w:val="16"/>
          <w:lang w:eastAsia="en-US"/>
          <w14:ligatures w14:val="none"/>
        </w:rPr>
        <w:t xml:space="preserve">/default.htm. </w:t>
      </w:r>
    </w:p>
    <w:p w14:paraId="03EE4AE1" w14:textId="77777777" w:rsidR="003263C0" w:rsidRPr="003263C0" w:rsidRDefault="003263C0" w:rsidP="003263C0">
      <w:pPr>
        <w:numPr>
          <w:ilvl w:val="0"/>
          <w:numId w:val="10"/>
        </w:numPr>
        <w:spacing w:after="0" w:line="259" w:lineRule="auto"/>
        <w:ind w:right="0"/>
        <w:rPr>
          <w:rFonts w:ascii="Arial MT" w:eastAsia="Arial MT" w:hAnsi="Arial MT" w:cs="Arial MT"/>
          <w:color w:val="0A2F41" w:themeColor="accent1" w:themeShade="80"/>
          <w:kern w:val="0"/>
          <w:szCs w:val="16"/>
          <w:lang w:eastAsia="en-US"/>
          <w14:ligatures w14:val="none"/>
        </w:rPr>
      </w:pPr>
      <w:proofErr w:type="spellStart"/>
      <w:r w:rsidRPr="003263C0">
        <w:rPr>
          <w:rFonts w:ascii="Arial MT" w:eastAsia="Arial MT" w:hAnsi="Arial MT" w:cs="Arial MT"/>
          <w:color w:val="0A2F41" w:themeColor="accent1" w:themeShade="80"/>
          <w:kern w:val="0"/>
          <w:szCs w:val="16"/>
          <w:lang w:eastAsia="en-US"/>
          <w14:ligatures w14:val="none"/>
        </w:rPr>
        <w:t>Vanderzant</w:t>
      </w:r>
      <w:proofErr w:type="spellEnd"/>
      <w:r w:rsidRPr="003263C0">
        <w:rPr>
          <w:rFonts w:ascii="Arial MT" w:eastAsia="Arial MT" w:hAnsi="Arial MT" w:cs="Arial MT"/>
          <w:color w:val="0A2F41" w:themeColor="accent1" w:themeShade="80"/>
          <w:kern w:val="0"/>
          <w:szCs w:val="16"/>
          <w:lang w:eastAsia="en-US"/>
          <w14:ligatures w14:val="none"/>
        </w:rPr>
        <w:t xml:space="preserve">, C., and D. F. Splittstoesser (eds.). 2015. Compendium of methods for the microbiological examination of foods, 4th ed. American Public Health Association, Washington, D.C.  </w:t>
      </w:r>
    </w:p>
    <w:p w14:paraId="67BB5D06" w14:textId="77777777" w:rsidR="003263C0" w:rsidRPr="003263C0" w:rsidRDefault="003263C0" w:rsidP="003263C0">
      <w:pPr>
        <w:numPr>
          <w:ilvl w:val="0"/>
          <w:numId w:val="10"/>
        </w:numPr>
        <w:spacing w:after="0" w:line="259" w:lineRule="auto"/>
        <w:ind w:right="0"/>
        <w:rPr>
          <w:rFonts w:ascii="Arial MT" w:eastAsia="Arial MT" w:hAnsi="Arial MT" w:cs="Arial MT"/>
          <w:color w:val="0A2F41" w:themeColor="accent1" w:themeShade="80"/>
          <w:kern w:val="0"/>
          <w:szCs w:val="16"/>
          <w:lang w:eastAsia="en-US"/>
          <w14:ligatures w14:val="none"/>
        </w:rPr>
      </w:pPr>
      <w:r w:rsidRPr="003263C0">
        <w:rPr>
          <w:rFonts w:ascii="Arial MT" w:eastAsia="Arial MT" w:hAnsi="Arial MT" w:cs="Arial MT"/>
          <w:color w:val="0A2F41" w:themeColor="accent1" w:themeShade="80"/>
          <w:kern w:val="0"/>
          <w:szCs w:val="16"/>
          <w:lang w:eastAsia="en-US"/>
          <w14:ligatures w14:val="none"/>
        </w:rPr>
        <w:t xml:space="preserve">Isenberg, H. D. (ed.). 1992. Clinical microbiology procedures handbook, vol. 1. American Society for Microbiology, Washington, D.C.  </w:t>
      </w:r>
    </w:p>
    <w:p w14:paraId="35F9E629" w14:textId="2052A476" w:rsidR="00424BB9" w:rsidRDefault="0044579F" w:rsidP="003263C0">
      <w:pPr>
        <w:spacing w:after="0" w:line="259" w:lineRule="auto"/>
        <w:ind w:left="0" w:right="0" w:firstLine="0"/>
        <w:rPr>
          <w:rFonts w:ascii="Arial MT" w:eastAsia="Arial MT" w:hAnsi="Arial MT" w:cs="Arial MT"/>
          <w:color w:val="0A2F41" w:themeColor="accent1" w:themeShade="80"/>
          <w:kern w:val="0"/>
          <w:szCs w:val="16"/>
          <w:lang w:eastAsia="en-US"/>
          <w14:ligatures w14:val="none"/>
        </w:rPr>
      </w:pPr>
      <w:r w:rsidRPr="000922C1">
        <w:rPr>
          <w:color w:val="00411A"/>
        </w:rPr>
        <w:br w:type="column"/>
      </w:r>
      <w:r w:rsidR="00000000" w:rsidRPr="00BD77EA">
        <w:rPr>
          <w:rFonts w:ascii="Arial MT" w:eastAsia="Arial MT" w:hAnsi="Arial MT" w:cs="Arial MT"/>
          <w:color w:val="0A2F41" w:themeColor="accent1" w:themeShade="80"/>
          <w:kern w:val="0"/>
          <w:szCs w:val="16"/>
          <w:lang w:eastAsia="en-US"/>
          <w14:ligatures w14:val="none"/>
        </w:rPr>
        <w:t xml:space="preserve"> </w:t>
      </w:r>
    </w:p>
    <w:p w14:paraId="20D386DF" w14:textId="77777777" w:rsidR="0044579F" w:rsidRPr="00BD77EA" w:rsidRDefault="0044579F" w:rsidP="003263C0">
      <w:pPr>
        <w:spacing w:after="0" w:line="259" w:lineRule="auto"/>
        <w:ind w:left="0" w:right="0" w:firstLine="0"/>
        <w:rPr>
          <w:rFonts w:ascii="Arial MT" w:eastAsia="Arial MT" w:hAnsi="Arial MT" w:cs="Arial MT"/>
          <w:color w:val="0A2F41" w:themeColor="accent1" w:themeShade="80"/>
          <w:kern w:val="0"/>
          <w:szCs w:val="16"/>
          <w:lang w:eastAsia="en-US"/>
          <w14:ligatures w14:val="none"/>
        </w:rPr>
      </w:pPr>
    </w:p>
    <w:p w14:paraId="409B16F5" w14:textId="0E474D8E" w:rsidR="00424BB9" w:rsidRDefault="00000000" w:rsidP="003263C0">
      <w:pPr>
        <w:spacing w:after="0" w:line="259" w:lineRule="auto"/>
        <w:ind w:left="0" w:right="0" w:firstLine="0"/>
      </w:pPr>
      <w:r>
        <w:rPr>
          <w:rFonts w:ascii="Calibri" w:eastAsia="Calibri" w:hAnsi="Calibri" w:cs="Calibri"/>
          <w:sz w:val="22"/>
        </w:rPr>
        <w:t xml:space="preserve"> </w:t>
      </w:r>
    </w:p>
    <w:tbl>
      <w:tblPr>
        <w:tblStyle w:val="TableGrid"/>
        <w:tblpPr w:leftFromText="180" w:rightFromText="180" w:vertAnchor="text" w:horzAnchor="margin" w:tblpXSpec="right" w:tblpY="71"/>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242663" w:rsidRPr="00F504CF" w14:paraId="0A8FD50C" w14:textId="77777777" w:rsidTr="00242663">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9DC1147" w14:textId="77777777" w:rsidR="00242663" w:rsidRPr="002B5F89" w:rsidRDefault="00242663" w:rsidP="003263C0">
            <w:pPr>
              <w:spacing w:after="0" w:line="259" w:lineRule="auto"/>
              <w:ind w:left="82" w:right="0" w:firstLine="0"/>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242663" w:rsidRPr="00F504CF" w14:paraId="5A838944" w14:textId="77777777" w:rsidTr="00242663">
        <w:trPr>
          <w:trHeight w:val="516"/>
        </w:trPr>
        <w:tc>
          <w:tcPr>
            <w:tcW w:w="2340" w:type="dxa"/>
            <w:tcBorders>
              <w:top w:val="single" w:sz="4" w:space="0" w:color="000000"/>
              <w:left w:val="single" w:sz="4" w:space="0" w:color="000000"/>
              <w:bottom w:val="nil"/>
              <w:right w:val="single" w:sz="4" w:space="0" w:color="000000"/>
            </w:tcBorders>
          </w:tcPr>
          <w:p w14:paraId="4AECD166" w14:textId="77777777" w:rsidR="00242663" w:rsidRPr="00F504CF" w:rsidRDefault="00242663" w:rsidP="003263C0">
            <w:pPr>
              <w:spacing w:after="196" w:line="259" w:lineRule="auto"/>
              <w:ind w:left="54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A2A1E0D" w14:textId="77777777" w:rsidR="00242663" w:rsidRPr="00F504CF" w:rsidRDefault="00242663" w:rsidP="003263C0">
            <w:pPr>
              <w:spacing w:after="0" w:line="259" w:lineRule="auto"/>
              <w:ind w:left="543" w:right="0"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3CCFDD6C" w14:textId="77777777" w:rsidR="00242663" w:rsidRPr="00F504CF" w:rsidRDefault="00242663" w:rsidP="003263C0">
            <w:pPr>
              <w:spacing w:after="91"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28EC3B46" wp14:editId="09AAA6CD">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2973F2B0" w14:textId="77777777" w:rsidR="00242663" w:rsidRDefault="00242663" w:rsidP="00242663">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28EC3B46"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2973F2B0" w14:textId="77777777" w:rsidR="00242663" w:rsidRDefault="00242663" w:rsidP="00242663">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0D6E4617" w14:textId="77777777" w:rsidR="00242663" w:rsidRPr="00F504CF" w:rsidRDefault="00242663" w:rsidP="003263C0">
            <w:pPr>
              <w:spacing w:after="0"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242663" w:rsidRPr="00F504CF" w14:paraId="2CC42A92" w14:textId="77777777" w:rsidTr="00242663">
        <w:trPr>
          <w:trHeight w:val="305"/>
        </w:trPr>
        <w:tc>
          <w:tcPr>
            <w:tcW w:w="2340" w:type="dxa"/>
            <w:tcBorders>
              <w:top w:val="nil"/>
              <w:left w:val="single" w:sz="4" w:space="0" w:color="000000"/>
              <w:bottom w:val="nil"/>
              <w:right w:val="single" w:sz="4" w:space="0" w:color="000000"/>
            </w:tcBorders>
          </w:tcPr>
          <w:p w14:paraId="0335D64A" w14:textId="77777777" w:rsidR="00242663" w:rsidRPr="00F504CF" w:rsidRDefault="00242663"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36A8D87" w14:textId="77777777" w:rsidR="00242663" w:rsidRPr="00F504CF" w:rsidRDefault="00242663" w:rsidP="003263C0">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72CDCD0D" wp14:editId="5C406FF8">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69C45A2C" w14:textId="77777777" w:rsidR="00242663" w:rsidRPr="00F504CF" w:rsidRDefault="00242663" w:rsidP="003263C0">
            <w:pPr>
              <w:spacing w:after="0"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242663" w:rsidRPr="00F504CF" w14:paraId="05BBF90D" w14:textId="77777777" w:rsidTr="00242663">
        <w:trPr>
          <w:trHeight w:val="469"/>
        </w:trPr>
        <w:tc>
          <w:tcPr>
            <w:tcW w:w="2340" w:type="dxa"/>
            <w:tcBorders>
              <w:top w:val="nil"/>
              <w:left w:val="single" w:sz="4" w:space="0" w:color="000000"/>
              <w:bottom w:val="nil"/>
              <w:right w:val="single" w:sz="4" w:space="0" w:color="000000"/>
            </w:tcBorders>
            <w:vAlign w:val="center"/>
          </w:tcPr>
          <w:p w14:paraId="7CA1DBAE" w14:textId="77777777" w:rsidR="00242663" w:rsidRPr="00F504CF" w:rsidRDefault="00242663" w:rsidP="003263C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6875AEB3" w14:textId="77777777" w:rsidR="00242663" w:rsidRPr="00F504CF" w:rsidRDefault="00242663" w:rsidP="003263C0">
            <w:pPr>
              <w:spacing w:after="0" w:line="259" w:lineRule="auto"/>
              <w:ind w:left="118"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2F146DDD" wp14:editId="3DC778EC">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6032044E" w14:textId="77777777" w:rsidR="00242663" w:rsidRDefault="00242663" w:rsidP="00242663">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2F146DDD"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6032044E" w14:textId="77777777" w:rsidR="00242663" w:rsidRDefault="00242663" w:rsidP="00242663">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242663" w:rsidRPr="00F504CF" w14:paraId="05805FEA" w14:textId="77777777" w:rsidTr="00242663">
        <w:trPr>
          <w:trHeight w:val="1199"/>
        </w:trPr>
        <w:tc>
          <w:tcPr>
            <w:tcW w:w="2340" w:type="dxa"/>
            <w:tcBorders>
              <w:top w:val="nil"/>
              <w:left w:val="single" w:sz="4" w:space="0" w:color="000000"/>
              <w:bottom w:val="single" w:sz="4" w:space="0" w:color="000000"/>
              <w:right w:val="single" w:sz="4" w:space="0" w:color="000000"/>
            </w:tcBorders>
          </w:tcPr>
          <w:p w14:paraId="174E0A0B" w14:textId="77777777" w:rsidR="00242663" w:rsidRPr="00F504CF" w:rsidRDefault="00242663" w:rsidP="003263C0">
            <w:pPr>
              <w:tabs>
                <w:tab w:val="right" w:pos="2313"/>
              </w:tabs>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876D412" wp14:editId="71B28450">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27E402D1" w14:textId="77777777" w:rsidR="00242663" w:rsidRPr="00F504CF" w:rsidRDefault="00242663" w:rsidP="003263C0">
            <w:pPr>
              <w:tabs>
                <w:tab w:val="center" w:pos="300"/>
                <w:tab w:val="center" w:pos="1110"/>
              </w:tabs>
              <w:spacing w:after="157"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688ADFBB" wp14:editId="32B5EDB7">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714CD5F4" w14:textId="77777777" w:rsidR="00242663" w:rsidRPr="00F504CF" w:rsidRDefault="00242663" w:rsidP="003263C0">
            <w:pPr>
              <w:tabs>
                <w:tab w:val="center" w:pos="1102"/>
              </w:tabs>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86D44B9" wp14:editId="62F22C5F">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2BB8DD2A" w14:textId="77777777" w:rsidR="00242663" w:rsidRPr="00F504CF" w:rsidRDefault="00242663" w:rsidP="003263C0">
            <w:pPr>
              <w:spacing w:after="7"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7F9D1711" wp14:editId="488AF038">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6E0960E8" w14:textId="77777777" w:rsidR="00242663" w:rsidRPr="00F504CF" w:rsidRDefault="00242663" w:rsidP="003263C0">
            <w:pPr>
              <w:spacing w:after="134" w:line="259" w:lineRule="auto"/>
              <w:ind w:left="154" w:right="4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8D79D83" w14:textId="77777777" w:rsidR="00242663" w:rsidRPr="00F504CF" w:rsidRDefault="00242663" w:rsidP="003263C0">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02C2A6E6" w14:textId="77777777" w:rsidR="00242663" w:rsidRPr="00F504CF" w:rsidRDefault="00242663" w:rsidP="003263C0">
            <w:pPr>
              <w:spacing w:after="153" w:line="259" w:lineRule="auto"/>
              <w:ind w:left="78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00898639" w14:textId="77777777" w:rsidR="00242663" w:rsidRPr="00F504CF" w:rsidRDefault="00242663" w:rsidP="003263C0">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6EEE2D2" w14:textId="77777777" w:rsidR="00242663" w:rsidRPr="00F504CF" w:rsidRDefault="00242663" w:rsidP="003263C0">
            <w:pPr>
              <w:spacing w:after="0" w:line="259" w:lineRule="auto"/>
              <w:ind w:left="78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18CC8F38" w14:textId="5BBC54E4" w:rsidR="00424BB9" w:rsidRDefault="00181550" w:rsidP="003263C0">
      <w:pPr>
        <w:spacing w:after="0" w:line="259" w:lineRule="auto"/>
        <w:ind w:left="0" w:right="0" w:firstLine="0"/>
      </w:pPr>
      <w:r w:rsidRPr="00F504CF">
        <w:rPr>
          <w:rFonts w:ascii="Calibri" w:eastAsia="Calibri" w:hAnsi="Calibri" w:cs="Calibri"/>
          <w:noProof/>
          <w:sz w:val="2"/>
        </w:rPr>
        <mc:AlternateContent>
          <mc:Choice Requires="wps">
            <w:drawing>
              <wp:anchor distT="45720" distB="45720" distL="114300" distR="114300" simplePos="0" relativeHeight="251670528" behindDoc="0" locked="0" layoutInCell="1" allowOverlap="1" wp14:anchorId="58EFC117" wp14:editId="09CAF94C">
                <wp:simplePos x="0" y="0"/>
                <wp:positionH relativeFrom="margin">
                  <wp:posOffset>81915</wp:posOffset>
                </wp:positionH>
                <wp:positionV relativeFrom="margin">
                  <wp:posOffset>8072755</wp:posOffset>
                </wp:positionV>
                <wp:extent cx="662495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82980"/>
                        </a:xfrm>
                        <a:prstGeom prst="rect">
                          <a:avLst/>
                        </a:prstGeom>
                        <a:noFill/>
                        <a:ln w="9525">
                          <a:noFill/>
                          <a:miter lim="800000"/>
                          <a:headEnd/>
                          <a:tailEnd/>
                        </a:ln>
                      </wps:spPr>
                      <wps:txb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33" type="#_x0000_t202" style="position:absolute;left:0;text-align:left;margin-left:6.45pt;margin-top:635.65pt;width:521.6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" filled="f" stroked="f">
                <v:textbo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sidR="00000000">
        <w:rPr>
          <w:sz w:val="15"/>
        </w:rPr>
        <w:t xml:space="preserve"> </w:t>
      </w:r>
    </w:p>
    <w:p w14:paraId="7A9F257E" w14:textId="09AF30A1" w:rsidR="00424BB9" w:rsidRDefault="00000000" w:rsidP="003263C0">
      <w:pPr>
        <w:spacing w:after="55" w:line="259" w:lineRule="auto"/>
        <w:ind w:left="0" w:right="0" w:firstLine="0"/>
      </w:pPr>
      <w:r>
        <w:rPr>
          <w:color w:val="00411A"/>
          <w:sz w:val="15"/>
        </w:rPr>
        <w:t xml:space="preserve"> </w:t>
      </w:r>
    </w:p>
    <w:p w14:paraId="466E3DEC" w14:textId="237B08E1" w:rsidR="00424BB9" w:rsidRDefault="00000000" w:rsidP="003263C0">
      <w:pPr>
        <w:spacing w:after="0" w:line="259" w:lineRule="auto"/>
        <w:ind w:left="0" w:right="0" w:firstLine="0"/>
        <w:rPr>
          <w:rFonts w:ascii="Calibri" w:eastAsia="Calibri" w:hAnsi="Calibri" w:cs="Calibri"/>
          <w:color w:val="000000"/>
          <w:sz w:val="22"/>
        </w:rPr>
      </w:pPr>
      <w:r>
        <w:rPr>
          <w:rFonts w:ascii="Calibri" w:eastAsia="Calibri" w:hAnsi="Calibri" w:cs="Calibri"/>
          <w:color w:val="000000"/>
          <w:sz w:val="22"/>
        </w:rPr>
        <w:t xml:space="preserve"> </w:t>
      </w:r>
    </w:p>
    <w:p w14:paraId="3741056B" w14:textId="77777777" w:rsidR="00181550" w:rsidRDefault="00181550" w:rsidP="003263C0">
      <w:pPr>
        <w:spacing w:after="0" w:line="259" w:lineRule="auto"/>
        <w:ind w:left="0" w:right="0" w:firstLine="0"/>
        <w:rPr>
          <w:rFonts w:ascii="Calibri" w:eastAsia="Calibri" w:hAnsi="Calibri" w:cs="Calibri"/>
          <w:color w:val="000000"/>
          <w:sz w:val="22"/>
        </w:rPr>
      </w:pPr>
    </w:p>
    <w:p w14:paraId="58F6610F" w14:textId="77777777" w:rsidR="00181550" w:rsidRDefault="00181550" w:rsidP="003263C0">
      <w:pPr>
        <w:spacing w:after="0" w:line="259" w:lineRule="auto"/>
        <w:ind w:left="0" w:right="0" w:firstLine="0"/>
        <w:rPr>
          <w:rFonts w:ascii="Calibri" w:eastAsia="Calibri" w:hAnsi="Calibri" w:cs="Calibri"/>
          <w:color w:val="000000"/>
          <w:sz w:val="22"/>
        </w:rPr>
      </w:pPr>
    </w:p>
    <w:p w14:paraId="4DF6E86C" w14:textId="77777777" w:rsidR="00181550" w:rsidRDefault="00181550" w:rsidP="003263C0">
      <w:pPr>
        <w:spacing w:after="0" w:line="259" w:lineRule="auto"/>
        <w:ind w:left="0" w:right="0" w:firstLine="0"/>
        <w:rPr>
          <w:rFonts w:ascii="Calibri" w:eastAsia="Calibri" w:hAnsi="Calibri" w:cs="Calibri"/>
          <w:color w:val="000000"/>
          <w:sz w:val="22"/>
        </w:rPr>
      </w:pPr>
    </w:p>
    <w:p w14:paraId="5BDC9A29" w14:textId="77777777" w:rsidR="00181550" w:rsidRDefault="00181550" w:rsidP="003263C0">
      <w:pPr>
        <w:spacing w:after="0" w:line="259" w:lineRule="auto"/>
        <w:ind w:left="0" w:right="0" w:firstLine="0"/>
        <w:rPr>
          <w:rFonts w:ascii="Calibri" w:eastAsia="Calibri" w:hAnsi="Calibri" w:cs="Calibri"/>
          <w:color w:val="000000"/>
          <w:sz w:val="22"/>
        </w:rPr>
      </w:pPr>
    </w:p>
    <w:p w14:paraId="277364EB" w14:textId="77777777" w:rsidR="00181550" w:rsidRDefault="00181550" w:rsidP="003263C0">
      <w:pPr>
        <w:spacing w:after="0" w:line="259" w:lineRule="auto"/>
        <w:ind w:left="0" w:right="0" w:firstLine="0"/>
        <w:rPr>
          <w:rFonts w:ascii="Calibri" w:eastAsia="Calibri" w:hAnsi="Calibri" w:cs="Calibri"/>
          <w:color w:val="000000"/>
          <w:sz w:val="22"/>
        </w:rPr>
      </w:pPr>
    </w:p>
    <w:p w14:paraId="6170BD77" w14:textId="77777777" w:rsidR="00181550" w:rsidRDefault="00181550" w:rsidP="003263C0">
      <w:pPr>
        <w:spacing w:after="0" w:line="259" w:lineRule="auto"/>
        <w:ind w:left="0" w:right="0" w:firstLine="0"/>
        <w:rPr>
          <w:rFonts w:ascii="Calibri" w:eastAsia="Calibri" w:hAnsi="Calibri" w:cs="Calibri"/>
          <w:color w:val="000000"/>
          <w:sz w:val="22"/>
        </w:rPr>
      </w:pPr>
    </w:p>
    <w:p w14:paraId="446D2E81" w14:textId="77777777" w:rsidR="00181550" w:rsidRDefault="00181550" w:rsidP="003263C0">
      <w:pPr>
        <w:spacing w:after="0" w:line="259" w:lineRule="auto"/>
        <w:ind w:left="0" w:right="0" w:firstLine="0"/>
        <w:rPr>
          <w:rFonts w:ascii="Calibri" w:eastAsia="Calibri" w:hAnsi="Calibri" w:cs="Calibri"/>
          <w:color w:val="000000"/>
          <w:sz w:val="22"/>
        </w:rPr>
      </w:pPr>
    </w:p>
    <w:p w14:paraId="61113971" w14:textId="77777777" w:rsidR="00181550" w:rsidRDefault="00181550" w:rsidP="003263C0">
      <w:pPr>
        <w:spacing w:after="0" w:line="259" w:lineRule="auto"/>
        <w:ind w:left="0" w:right="0" w:firstLine="0"/>
        <w:rPr>
          <w:rFonts w:ascii="Calibri" w:eastAsia="Calibri" w:hAnsi="Calibri" w:cs="Calibri"/>
          <w:color w:val="000000"/>
          <w:sz w:val="22"/>
        </w:rPr>
      </w:pPr>
    </w:p>
    <w:p w14:paraId="5A7B69C0" w14:textId="77777777" w:rsidR="00181550" w:rsidRDefault="00181550" w:rsidP="003263C0">
      <w:pPr>
        <w:spacing w:after="0" w:line="259" w:lineRule="auto"/>
        <w:ind w:left="0" w:right="0" w:firstLine="0"/>
        <w:rPr>
          <w:rFonts w:ascii="Calibri" w:eastAsia="Calibri" w:hAnsi="Calibri" w:cs="Calibri"/>
          <w:color w:val="000000"/>
          <w:sz w:val="22"/>
        </w:rPr>
      </w:pPr>
    </w:p>
    <w:p w14:paraId="27578EBC" w14:textId="77777777" w:rsidR="00181550" w:rsidRDefault="00181550" w:rsidP="003263C0">
      <w:pPr>
        <w:spacing w:after="0" w:line="259" w:lineRule="auto"/>
        <w:ind w:left="0" w:right="0" w:firstLine="0"/>
        <w:rPr>
          <w:rFonts w:ascii="Calibri" w:eastAsia="Calibri" w:hAnsi="Calibri" w:cs="Calibri"/>
          <w:color w:val="000000"/>
          <w:sz w:val="22"/>
        </w:rPr>
      </w:pPr>
    </w:p>
    <w:p w14:paraId="04F9AFDD" w14:textId="77777777" w:rsidR="00181550" w:rsidRDefault="00181550" w:rsidP="003263C0">
      <w:pPr>
        <w:spacing w:after="0" w:line="259" w:lineRule="auto"/>
        <w:ind w:left="0" w:right="0" w:firstLine="0"/>
        <w:rPr>
          <w:rFonts w:ascii="Calibri" w:eastAsia="Calibri" w:hAnsi="Calibri" w:cs="Calibri"/>
          <w:color w:val="000000"/>
          <w:sz w:val="22"/>
        </w:rPr>
      </w:pPr>
    </w:p>
    <w:p w14:paraId="1596EF96" w14:textId="77777777" w:rsidR="00181550" w:rsidRDefault="00181550" w:rsidP="003263C0">
      <w:pPr>
        <w:spacing w:after="0" w:line="259" w:lineRule="auto"/>
        <w:ind w:left="0" w:right="0" w:firstLine="0"/>
        <w:rPr>
          <w:rFonts w:ascii="Calibri" w:eastAsia="Calibri" w:hAnsi="Calibri" w:cs="Calibri"/>
          <w:color w:val="000000"/>
          <w:sz w:val="22"/>
        </w:rPr>
      </w:pPr>
    </w:p>
    <w:p w14:paraId="6398F062" w14:textId="77777777" w:rsidR="00181550" w:rsidRDefault="00181550" w:rsidP="003263C0">
      <w:pPr>
        <w:spacing w:after="0" w:line="259" w:lineRule="auto"/>
        <w:ind w:left="0" w:right="0" w:firstLine="0"/>
      </w:pPr>
    </w:p>
    <w:sectPr w:rsidR="00181550">
      <w:type w:val="continuous"/>
      <w:pgSz w:w="12240" w:h="15840"/>
      <w:pgMar w:top="1433" w:right="985" w:bottom="721" w:left="900" w:header="720" w:footer="720" w:gutter="0"/>
      <w:cols w:num="2" w:space="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E51D" w14:textId="77777777" w:rsidR="001060CE" w:rsidRDefault="001060CE" w:rsidP="005A6328">
      <w:pPr>
        <w:spacing w:after="0" w:line="240" w:lineRule="auto"/>
      </w:pPr>
      <w:r>
        <w:separator/>
      </w:r>
    </w:p>
  </w:endnote>
  <w:endnote w:type="continuationSeparator" w:id="0">
    <w:p w14:paraId="6B43C1AD" w14:textId="77777777" w:rsidR="001060CE" w:rsidRDefault="001060CE"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B684" w14:textId="77777777" w:rsidR="001060CE" w:rsidRDefault="001060CE" w:rsidP="005A6328">
      <w:pPr>
        <w:spacing w:after="0" w:line="240" w:lineRule="auto"/>
      </w:pPr>
      <w:r>
        <w:separator/>
      </w:r>
    </w:p>
  </w:footnote>
  <w:footnote w:type="continuationSeparator" w:id="0">
    <w:p w14:paraId="1F8B91D3" w14:textId="77777777" w:rsidR="001060CE" w:rsidRDefault="001060CE"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1"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2"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3"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4"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5"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6"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7"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8"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9"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num w:numId="1" w16cid:durableId="56242305">
    <w:abstractNumId w:val="3"/>
  </w:num>
  <w:num w:numId="2" w16cid:durableId="164171721">
    <w:abstractNumId w:val="5"/>
  </w:num>
  <w:num w:numId="3" w16cid:durableId="608315914">
    <w:abstractNumId w:val="8"/>
  </w:num>
  <w:num w:numId="4" w16cid:durableId="777484419">
    <w:abstractNumId w:val="9"/>
  </w:num>
  <w:num w:numId="5" w16cid:durableId="681931878">
    <w:abstractNumId w:val="2"/>
  </w:num>
  <w:num w:numId="6" w16cid:durableId="1541625353">
    <w:abstractNumId w:val="6"/>
  </w:num>
  <w:num w:numId="7" w16cid:durableId="140078576">
    <w:abstractNumId w:val="7"/>
  </w:num>
  <w:num w:numId="8" w16cid:durableId="1822580323">
    <w:abstractNumId w:val="1"/>
  </w:num>
  <w:num w:numId="9" w16cid:durableId="2136827703">
    <w:abstractNumId w:val="0"/>
  </w:num>
  <w:num w:numId="10" w16cid:durableId="615451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E57B1"/>
    <w:rsid w:val="001060CE"/>
    <w:rsid w:val="00181550"/>
    <w:rsid w:val="00242663"/>
    <w:rsid w:val="002842D5"/>
    <w:rsid w:val="002B5F89"/>
    <w:rsid w:val="00301CDD"/>
    <w:rsid w:val="00315D2B"/>
    <w:rsid w:val="003263C0"/>
    <w:rsid w:val="0034296F"/>
    <w:rsid w:val="004200B8"/>
    <w:rsid w:val="00424BB9"/>
    <w:rsid w:val="0044579F"/>
    <w:rsid w:val="00446087"/>
    <w:rsid w:val="00497C33"/>
    <w:rsid w:val="005A6328"/>
    <w:rsid w:val="005D2B78"/>
    <w:rsid w:val="0070011D"/>
    <w:rsid w:val="008278FA"/>
    <w:rsid w:val="00890069"/>
    <w:rsid w:val="008B0E57"/>
    <w:rsid w:val="00906CF9"/>
    <w:rsid w:val="009A49DC"/>
    <w:rsid w:val="009E740A"/>
    <w:rsid w:val="00A602A9"/>
    <w:rsid w:val="00B17B20"/>
    <w:rsid w:val="00BA3D57"/>
    <w:rsid w:val="00BB314A"/>
    <w:rsid w:val="00BD44D2"/>
    <w:rsid w:val="00BD77EA"/>
    <w:rsid w:val="00C360D7"/>
    <w:rsid w:val="00E73C16"/>
    <w:rsid w:val="00ED6189"/>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1" w:right="115" w:hanging="10"/>
      <w:jc w:val="both"/>
    </w:pPr>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ind w:left="0" w:right="0" w:firstLine="0"/>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right="0" w:firstLine="0"/>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right="0"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1050</Words>
  <Characters>5988</Characters>
  <Application>Microsoft Office Word</Application>
  <DocSecurity>0</DocSecurity>
  <Lines>49</Lines>
  <Paragraphs>14</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CLINICAL SIGNIFICANCE</vt:lpstr>
      <vt:lpstr>METHOD PRINCIPLE </vt:lpstr>
      <vt:lpstr>Ammonium Dihydrogen Phosphate is the sole source of nitrogen. Dipotassium Phosph</vt:lpstr>
      <vt:lpstr>MEDIA COMPOSITION </vt:lpstr>
      <vt:lpstr>    pH 6.8 ± 0.2 at 25 C </vt:lpstr>
      <vt:lpstr>PRECAUTIONS AND WARNINGS (2) </vt:lpstr>
      <vt:lpstr>MEDIA PREPARATION, STORAGE AND STABILITY</vt:lpstr>
      <vt:lpstr>    PROCEDURE </vt:lpstr>
      <vt:lpstr>    Deterioration </vt:lpstr>
      <vt:lpstr>For clinical samples follow appropriate techniques for handling specimens as per</vt:lpstr>
      <vt:lpstr>TYPE OF SPECIMEN </vt:lpstr>
      <vt:lpstr>Isolated microorganisms from clinical and non-clinical samples (food and water s</vt:lpstr>
      <vt:lpstr>EQUIPMENT REQUIRED NOT PROVIDED </vt:lpstr>
      <vt:lpstr>Sterile cups  </vt:lpstr>
      <vt:lpstr>Sterile petri-dishes </vt:lpstr>
      <vt:lpstr>Incubator  </vt:lpstr>
      <vt:lpstr>Autoclave</vt:lpstr>
      <vt:lpstr>QUALITY CONTROL </vt:lpstr>
      <vt:lpstr/>
      <vt:lpstr>PERFORMANCE CHARACTERISTICS  </vt:lpstr>
      <vt:lpstr>REFERENCES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Alyaa Ibrahim</cp:lastModifiedBy>
  <cp:revision>3</cp:revision>
  <dcterms:created xsi:type="dcterms:W3CDTF">2024-12-12T18:49:00Z</dcterms:created>
  <dcterms:modified xsi:type="dcterms:W3CDTF">2024-12-12T19:07:00Z</dcterms:modified>
</cp:coreProperties>
</file>